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AE1" w:rsidRPr="00605AE1" w:rsidRDefault="00605AE1" w:rsidP="00605AE1">
      <w:pPr>
        <w:pBdr>
          <w:top w:val="single" w:sz="6" w:space="1" w:color="BEB9A8"/>
        </w:pBdr>
        <w:shd w:val="clear" w:color="auto" w:fill="FFFFFF"/>
        <w:spacing w:after="0" w:line="240" w:lineRule="auto"/>
        <w:outlineLvl w:val="2"/>
        <w:rPr>
          <w:rFonts w:ascii="Arial" w:eastAsia="Times New Roman" w:hAnsi="Arial" w:cs="Arial"/>
          <w:color w:val="8A1719"/>
          <w:spacing w:val="15"/>
          <w:sz w:val="27"/>
          <w:szCs w:val="27"/>
        </w:rPr>
      </w:pPr>
      <w:r w:rsidRPr="00605AE1">
        <w:rPr>
          <w:rFonts w:ascii="Arial" w:eastAsia="Times New Roman" w:hAnsi="Arial" w:cs="Arial"/>
          <w:color w:val="8A1719"/>
          <w:spacing w:val="15"/>
          <w:sz w:val="27"/>
          <w:szCs w:val="27"/>
        </w:rPr>
        <w:t xml:space="preserve">HB 19 Virginia Public Procurement Act; public higher educational institutions, disclosure by </w:t>
      </w:r>
      <w:proofErr w:type="spellStart"/>
      <w:r w:rsidRPr="00605AE1">
        <w:rPr>
          <w:rFonts w:ascii="Arial" w:eastAsia="Times New Roman" w:hAnsi="Arial" w:cs="Arial"/>
          <w:color w:val="8A1719"/>
          <w:spacing w:val="15"/>
          <w:sz w:val="27"/>
          <w:szCs w:val="27"/>
        </w:rPr>
        <w:t>offerors</w:t>
      </w:r>
      <w:proofErr w:type="spellEnd"/>
      <w:r w:rsidRPr="00605AE1">
        <w:rPr>
          <w:rFonts w:ascii="Arial" w:eastAsia="Times New Roman" w:hAnsi="Arial" w:cs="Arial"/>
          <w:color w:val="8A1719"/>
          <w:spacing w:val="15"/>
          <w:sz w:val="27"/>
          <w:szCs w:val="27"/>
        </w:rPr>
        <w:t>.</w:t>
      </w:r>
    </w:p>
    <w:p w:rsidR="00605AE1" w:rsidRPr="00605AE1" w:rsidRDefault="00605AE1" w:rsidP="00605AE1">
      <w:pPr>
        <w:shd w:val="clear" w:color="auto" w:fill="FFFFFF"/>
        <w:spacing w:before="75" w:after="600" w:line="270" w:lineRule="atLeast"/>
        <w:rPr>
          <w:rFonts w:ascii="Arial" w:eastAsia="Times New Roman" w:hAnsi="Arial" w:cs="Arial"/>
          <w:color w:val="333333"/>
          <w:sz w:val="18"/>
          <w:szCs w:val="18"/>
        </w:rPr>
      </w:pPr>
      <w:r w:rsidRPr="00605AE1">
        <w:rPr>
          <w:rFonts w:ascii="Arial" w:eastAsia="Times New Roman" w:hAnsi="Arial" w:cs="Arial"/>
          <w:color w:val="333333"/>
          <w:sz w:val="18"/>
          <w:szCs w:val="18"/>
        </w:rPr>
        <w:t>Introduced by: </w:t>
      </w:r>
      <w:hyperlink r:id="rId6" w:history="1">
        <w:r w:rsidRPr="00605AE1">
          <w:rPr>
            <w:rFonts w:ascii="Arial" w:eastAsia="Times New Roman" w:hAnsi="Arial" w:cs="Arial"/>
            <w:b/>
            <w:bCs/>
            <w:color w:val="355184"/>
            <w:sz w:val="18"/>
            <w:szCs w:val="18"/>
          </w:rPr>
          <w:t>Hyland F. "Buddy" Fowler, Jr.</w:t>
        </w:r>
      </w:hyperlink>
      <w:r w:rsidRPr="00605AE1">
        <w:rPr>
          <w:rFonts w:ascii="Arial" w:eastAsia="Times New Roman" w:hAnsi="Arial" w:cs="Arial"/>
          <w:color w:val="333333"/>
          <w:sz w:val="18"/>
          <w:szCs w:val="18"/>
        </w:rPr>
        <w:t> | </w:t>
      </w:r>
      <w:hyperlink r:id="rId7" w:history="1">
        <w:r w:rsidRPr="00605AE1">
          <w:rPr>
            <w:rFonts w:ascii="Arial" w:eastAsia="Times New Roman" w:hAnsi="Arial" w:cs="Arial"/>
            <w:b/>
            <w:bCs/>
            <w:color w:val="355184"/>
            <w:sz w:val="18"/>
            <w:szCs w:val="18"/>
          </w:rPr>
          <w:t>all patrons</w:t>
        </w:r>
      </w:hyperlink>
      <w:r w:rsidRPr="00605AE1">
        <w:rPr>
          <w:rFonts w:ascii="Arial" w:eastAsia="Times New Roman" w:hAnsi="Arial" w:cs="Arial"/>
          <w:color w:val="333333"/>
          <w:sz w:val="18"/>
          <w:szCs w:val="18"/>
        </w:rPr>
        <w:t>    ...    </w:t>
      </w:r>
      <w:hyperlink r:id="rId8" w:history="1">
        <w:r w:rsidRPr="00605AE1">
          <w:rPr>
            <w:rFonts w:ascii="Arial" w:eastAsia="Times New Roman" w:hAnsi="Arial" w:cs="Arial"/>
            <w:b/>
            <w:bCs/>
            <w:color w:val="355184"/>
            <w:sz w:val="18"/>
            <w:szCs w:val="18"/>
          </w:rPr>
          <w:t>notes</w:t>
        </w:r>
      </w:hyperlink>
      <w:r w:rsidRPr="00605AE1">
        <w:rPr>
          <w:rFonts w:ascii="Arial" w:eastAsia="Times New Roman" w:hAnsi="Arial" w:cs="Arial"/>
          <w:color w:val="333333"/>
          <w:sz w:val="18"/>
          <w:szCs w:val="18"/>
        </w:rPr>
        <w:t> </w:t>
      </w:r>
      <w:r w:rsidRPr="00605AE1">
        <w:rPr>
          <w:rFonts w:ascii="Arial" w:eastAsia="Times New Roman" w:hAnsi="Arial" w:cs="Arial"/>
          <w:b/>
          <w:bCs/>
          <w:color w:val="333333"/>
          <w:sz w:val="18"/>
          <w:szCs w:val="18"/>
        </w:rPr>
        <w:t>| </w:t>
      </w:r>
      <w:hyperlink r:id="rId9" w:history="1">
        <w:r w:rsidRPr="00605AE1">
          <w:rPr>
            <w:rFonts w:ascii="Arial" w:eastAsia="Times New Roman" w:hAnsi="Arial" w:cs="Arial"/>
            <w:b/>
            <w:bCs/>
            <w:color w:val="355184"/>
            <w:sz w:val="18"/>
            <w:szCs w:val="18"/>
          </w:rPr>
          <w:t>add</w:t>
        </w:r>
      </w:hyperlink>
      <w:r w:rsidRPr="00605AE1">
        <w:rPr>
          <w:rFonts w:ascii="Arial" w:eastAsia="Times New Roman" w:hAnsi="Arial" w:cs="Arial"/>
          <w:b/>
          <w:bCs/>
          <w:color w:val="333333"/>
          <w:sz w:val="18"/>
          <w:szCs w:val="18"/>
        </w:rPr>
        <w:t> to my profiles</w:t>
      </w:r>
    </w:p>
    <w:p w:rsidR="00605AE1" w:rsidRPr="00605AE1" w:rsidRDefault="00605AE1" w:rsidP="00605AE1">
      <w:pPr>
        <w:shd w:val="clear" w:color="auto" w:fill="FFFFFF"/>
        <w:spacing w:after="0" w:line="240" w:lineRule="auto"/>
        <w:outlineLvl w:val="3"/>
        <w:rPr>
          <w:rFonts w:ascii="Arial" w:eastAsia="Times New Roman" w:hAnsi="Arial" w:cs="Arial"/>
          <w:b/>
          <w:bCs/>
          <w:color w:val="8A1719"/>
          <w:spacing w:val="15"/>
          <w:sz w:val="18"/>
          <w:szCs w:val="18"/>
        </w:rPr>
      </w:pPr>
      <w:r w:rsidRPr="00605AE1">
        <w:rPr>
          <w:rFonts w:ascii="Arial" w:eastAsia="Times New Roman" w:hAnsi="Arial" w:cs="Arial"/>
          <w:b/>
          <w:bCs/>
          <w:color w:val="8A1719"/>
          <w:spacing w:val="15"/>
          <w:sz w:val="18"/>
          <w:szCs w:val="18"/>
        </w:rPr>
        <w:t>SUMMARY AS PASSED: </w:t>
      </w:r>
      <w:hyperlink r:id="rId10" w:history="1">
        <w:r w:rsidRPr="00605AE1">
          <w:rPr>
            <w:rFonts w:ascii="Arial" w:eastAsia="Times New Roman" w:hAnsi="Arial" w:cs="Arial"/>
            <w:b/>
            <w:bCs/>
            <w:color w:val="355184"/>
            <w:sz w:val="18"/>
            <w:szCs w:val="18"/>
          </w:rPr>
          <w:t>(all summaries)</w:t>
        </w:r>
      </w:hyperlink>
    </w:p>
    <w:p w:rsidR="00605AE1" w:rsidRPr="00605AE1" w:rsidRDefault="00605AE1" w:rsidP="00605AE1">
      <w:pPr>
        <w:shd w:val="clear" w:color="auto" w:fill="FFFFFF"/>
        <w:spacing w:before="100" w:beforeAutospacing="1" w:after="100" w:afterAutospacing="1" w:line="270" w:lineRule="atLeast"/>
        <w:rPr>
          <w:rFonts w:ascii="Arial" w:eastAsia="Times New Roman" w:hAnsi="Arial" w:cs="Arial"/>
          <w:color w:val="333333"/>
          <w:sz w:val="18"/>
          <w:szCs w:val="18"/>
        </w:rPr>
      </w:pPr>
      <w:r w:rsidRPr="00605AE1">
        <w:rPr>
          <w:rFonts w:ascii="Arial" w:eastAsia="Times New Roman" w:hAnsi="Arial" w:cs="Arial"/>
          <w:b/>
          <w:bCs/>
          <w:color w:val="333333"/>
          <w:sz w:val="18"/>
          <w:szCs w:val="18"/>
        </w:rPr>
        <w:t xml:space="preserve">Virginia Public Procurement Act; public institutions of higher education; disclosure required by certain </w:t>
      </w:r>
      <w:proofErr w:type="spellStart"/>
      <w:r w:rsidRPr="00605AE1">
        <w:rPr>
          <w:rFonts w:ascii="Arial" w:eastAsia="Times New Roman" w:hAnsi="Arial" w:cs="Arial"/>
          <w:b/>
          <w:bCs/>
          <w:color w:val="333333"/>
          <w:sz w:val="18"/>
          <w:szCs w:val="18"/>
        </w:rPr>
        <w:t>offerors</w:t>
      </w:r>
      <w:proofErr w:type="spellEnd"/>
      <w:r w:rsidRPr="00605AE1">
        <w:rPr>
          <w:rFonts w:ascii="Arial" w:eastAsia="Times New Roman" w:hAnsi="Arial" w:cs="Arial"/>
          <w:b/>
          <w:bCs/>
          <w:color w:val="333333"/>
          <w:sz w:val="18"/>
          <w:szCs w:val="18"/>
        </w:rPr>
        <w:t>; civil penalty.</w:t>
      </w:r>
      <w:r w:rsidRPr="00605AE1">
        <w:rPr>
          <w:rFonts w:ascii="Arial" w:eastAsia="Times New Roman" w:hAnsi="Arial" w:cs="Arial"/>
          <w:color w:val="333333"/>
          <w:sz w:val="18"/>
          <w:szCs w:val="18"/>
        </w:rPr>
        <w:t xml:space="preserve"> Requires every </w:t>
      </w:r>
      <w:proofErr w:type="spellStart"/>
      <w:r w:rsidRPr="00605AE1">
        <w:rPr>
          <w:rFonts w:ascii="Arial" w:eastAsia="Times New Roman" w:hAnsi="Arial" w:cs="Arial"/>
          <w:color w:val="333333"/>
          <w:sz w:val="18"/>
          <w:szCs w:val="18"/>
        </w:rPr>
        <w:t>offeror</w:t>
      </w:r>
      <w:proofErr w:type="spellEnd"/>
      <w:r w:rsidRPr="00605AE1">
        <w:rPr>
          <w:rFonts w:ascii="Arial" w:eastAsia="Times New Roman" w:hAnsi="Arial" w:cs="Arial"/>
          <w:color w:val="333333"/>
          <w:sz w:val="18"/>
          <w:szCs w:val="18"/>
        </w:rPr>
        <w:t xml:space="preserve"> who is awarded a contract by a public institution of higher education for any construction project that has a total cost of $5 million or more to disclose any contributions the </w:t>
      </w:r>
      <w:proofErr w:type="spellStart"/>
      <w:r w:rsidRPr="00605AE1">
        <w:rPr>
          <w:rFonts w:ascii="Arial" w:eastAsia="Times New Roman" w:hAnsi="Arial" w:cs="Arial"/>
          <w:color w:val="333333"/>
          <w:sz w:val="18"/>
          <w:szCs w:val="18"/>
        </w:rPr>
        <w:t>offeror</w:t>
      </w:r>
      <w:proofErr w:type="spellEnd"/>
      <w:r w:rsidRPr="00605AE1">
        <w:rPr>
          <w:rFonts w:ascii="Arial" w:eastAsia="Times New Roman" w:hAnsi="Arial" w:cs="Arial"/>
          <w:color w:val="333333"/>
          <w:sz w:val="18"/>
          <w:szCs w:val="18"/>
        </w:rPr>
        <w:t xml:space="preserve"> has made within the previous five-year period totaling $25,000 or more to the public institution of higher education or any private foundation that exists solely to support the public institution of higher education. The bill provides that no protest of an award shall lie for a claim that the selected </w:t>
      </w:r>
      <w:proofErr w:type="spellStart"/>
      <w:r w:rsidRPr="00605AE1">
        <w:rPr>
          <w:rFonts w:ascii="Arial" w:eastAsia="Times New Roman" w:hAnsi="Arial" w:cs="Arial"/>
          <w:color w:val="333333"/>
          <w:sz w:val="18"/>
          <w:szCs w:val="18"/>
        </w:rPr>
        <w:t>offeror</w:t>
      </w:r>
      <w:proofErr w:type="spellEnd"/>
      <w:r w:rsidRPr="00605AE1">
        <w:rPr>
          <w:rFonts w:ascii="Arial" w:eastAsia="Times New Roman" w:hAnsi="Arial" w:cs="Arial"/>
          <w:color w:val="333333"/>
          <w:sz w:val="18"/>
          <w:szCs w:val="18"/>
        </w:rPr>
        <w:t xml:space="preserve"> was awarded a contract solely based on such </w:t>
      </w:r>
      <w:proofErr w:type="spellStart"/>
      <w:r w:rsidRPr="00605AE1">
        <w:rPr>
          <w:rFonts w:ascii="Arial" w:eastAsia="Times New Roman" w:hAnsi="Arial" w:cs="Arial"/>
          <w:color w:val="333333"/>
          <w:sz w:val="18"/>
          <w:szCs w:val="18"/>
        </w:rPr>
        <w:t>offeror's</w:t>
      </w:r>
      <w:proofErr w:type="spellEnd"/>
      <w:r w:rsidRPr="00605AE1">
        <w:rPr>
          <w:rFonts w:ascii="Arial" w:eastAsia="Times New Roman" w:hAnsi="Arial" w:cs="Arial"/>
          <w:color w:val="333333"/>
          <w:sz w:val="18"/>
          <w:szCs w:val="18"/>
        </w:rPr>
        <w:t xml:space="preserve"> contribution to the public institution of higher education. The bill imposes a $500 civil penalty on any </w:t>
      </w:r>
      <w:proofErr w:type="spellStart"/>
      <w:r w:rsidRPr="00605AE1">
        <w:rPr>
          <w:rFonts w:ascii="Arial" w:eastAsia="Times New Roman" w:hAnsi="Arial" w:cs="Arial"/>
          <w:color w:val="333333"/>
          <w:sz w:val="18"/>
          <w:szCs w:val="18"/>
        </w:rPr>
        <w:t>offeror</w:t>
      </w:r>
      <w:proofErr w:type="spellEnd"/>
      <w:r w:rsidRPr="00605AE1">
        <w:rPr>
          <w:rFonts w:ascii="Arial" w:eastAsia="Times New Roman" w:hAnsi="Arial" w:cs="Arial"/>
          <w:color w:val="333333"/>
          <w:sz w:val="18"/>
          <w:szCs w:val="18"/>
        </w:rPr>
        <w:t xml:space="preserve"> that knowingly fails to submit the required disclosure. The provisions of the bill relating to such disclosure of gifts made by an </w:t>
      </w:r>
      <w:proofErr w:type="spellStart"/>
      <w:r w:rsidRPr="00605AE1">
        <w:rPr>
          <w:rFonts w:ascii="Arial" w:eastAsia="Times New Roman" w:hAnsi="Arial" w:cs="Arial"/>
          <w:color w:val="333333"/>
          <w:sz w:val="18"/>
          <w:szCs w:val="18"/>
        </w:rPr>
        <w:t>offeror</w:t>
      </w:r>
      <w:proofErr w:type="spellEnd"/>
      <w:r w:rsidRPr="00605AE1">
        <w:rPr>
          <w:rFonts w:ascii="Arial" w:eastAsia="Times New Roman" w:hAnsi="Arial" w:cs="Arial"/>
          <w:color w:val="333333"/>
          <w:sz w:val="18"/>
          <w:szCs w:val="18"/>
        </w:rPr>
        <w:t xml:space="preserve"> to a public institution of higher education or any private foundation that exists solely to support the public institution of higher education expire on June 30, 2027. This bill is identical to </w:t>
      </w:r>
      <w:hyperlink r:id="rId11" w:history="1">
        <w:r w:rsidRPr="00605AE1">
          <w:rPr>
            <w:rFonts w:ascii="Arial" w:eastAsia="Times New Roman" w:hAnsi="Arial" w:cs="Arial"/>
            <w:b/>
            <w:bCs/>
            <w:color w:val="355184"/>
            <w:sz w:val="18"/>
            <w:szCs w:val="18"/>
          </w:rPr>
          <w:t>SB 210.</w:t>
        </w:r>
      </w:hyperlink>
    </w:p>
    <w:p w:rsidR="00605AE1" w:rsidRPr="00605AE1" w:rsidRDefault="00605AE1" w:rsidP="00605AE1">
      <w:pPr>
        <w:pBdr>
          <w:top w:val="single" w:sz="6" w:space="1" w:color="BEB9A8"/>
        </w:pBdr>
        <w:shd w:val="clear" w:color="auto" w:fill="FFFFFF"/>
        <w:spacing w:after="0" w:line="240" w:lineRule="auto"/>
        <w:outlineLvl w:val="2"/>
        <w:rPr>
          <w:rFonts w:ascii="Arial" w:eastAsia="Times New Roman" w:hAnsi="Arial" w:cs="Arial"/>
          <w:color w:val="8A1719"/>
          <w:spacing w:val="15"/>
          <w:sz w:val="27"/>
          <w:szCs w:val="27"/>
        </w:rPr>
      </w:pPr>
      <w:r w:rsidRPr="00605AE1">
        <w:rPr>
          <w:rFonts w:ascii="Arial" w:eastAsia="Times New Roman" w:hAnsi="Arial" w:cs="Arial"/>
          <w:color w:val="8A1719"/>
          <w:spacing w:val="15"/>
          <w:sz w:val="27"/>
          <w:szCs w:val="27"/>
        </w:rPr>
        <w:t>HB 429 Virginia Public Procurement Act; architectural and professional engineering term contracting.</w:t>
      </w:r>
    </w:p>
    <w:p w:rsidR="00605AE1" w:rsidRPr="00605AE1" w:rsidRDefault="00605AE1" w:rsidP="00605AE1">
      <w:pPr>
        <w:shd w:val="clear" w:color="auto" w:fill="FFFFFF"/>
        <w:spacing w:before="75" w:after="600" w:line="270" w:lineRule="atLeast"/>
        <w:rPr>
          <w:rFonts w:ascii="Arial" w:eastAsia="Times New Roman" w:hAnsi="Arial" w:cs="Arial"/>
          <w:color w:val="333333"/>
          <w:sz w:val="18"/>
          <w:szCs w:val="18"/>
        </w:rPr>
      </w:pPr>
      <w:r w:rsidRPr="00605AE1">
        <w:rPr>
          <w:rFonts w:ascii="Arial" w:eastAsia="Times New Roman" w:hAnsi="Arial" w:cs="Arial"/>
          <w:color w:val="333333"/>
          <w:sz w:val="18"/>
          <w:szCs w:val="18"/>
        </w:rPr>
        <w:t>Introduced by: </w:t>
      </w:r>
      <w:hyperlink r:id="rId12" w:history="1">
        <w:r w:rsidRPr="00605AE1">
          <w:rPr>
            <w:rFonts w:ascii="Arial" w:eastAsia="Times New Roman" w:hAnsi="Arial" w:cs="Arial"/>
            <w:b/>
            <w:bCs/>
            <w:color w:val="355184"/>
            <w:sz w:val="18"/>
            <w:szCs w:val="18"/>
          </w:rPr>
          <w:t xml:space="preserve">David L. </w:t>
        </w:r>
        <w:proofErr w:type="spellStart"/>
        <w:r w:rsidRPr="00605AE1">
          <w:rPr>
            <w:rFonts w:ascii="Arial" w:eastAsia="Times New Roman" w:hAnsi="Arial" w:cs="Arial"/>
            <w:b/>
            <w:bCs/>
            <w:color w:val="355184"/>
            <w:sz w:val="18"/>
            <w:szCs w:val="18"/>
          </w:rPr>
          <w:t>Bulova</w:t>
        </w:r>
        <w:proofErr w:type="spellEnd"/>
      </w:hyperlink>
      <w:r w:rsidRPr="00605AE1">
        <w:rPr>
          <w:rFonts w:ascii="Arial" w:eastAsia="Times New Roman" w:hAnsi="Arial" w:cs="Arial"/>
          <w:color w:val="333333"/>
          <w:sz w:val="18"/>
          <w:szCs w:val="18"/>
        </w:rPr>
        <w:t> | </w:t>
      </w:r>
      <w:hyperlink r:id="rId13" w:history="1">
        <w:r w:rsidRPr="00605AE1">
          <w:rPr>
            <w:rFonts w:ascii="Arial" w:eastAsia="Times New Roman" w:hAnsi="Arial" w:cs="Arial"/>
            <w:b/>
            <w:bCs/>
            <w:color w:val="355184"/>
            <w:sz w:val="18"/>
            <w:szCs w:val="18"/>
          </w:rPr>
          <w:t>all patrons</w:t>
        </w:r>
      </w:hyperlink>
      <w:r w:rsidRPr="00605AE1">
        <w:rPr>
          <w:rFonts w:ascii="Arial" w:eastAsia="Times New Roman" w:hAnsi="Arial" w:cs="Arial"/>
          <w:color w:val="333333"/>
          <w:sz w:val="18"/>
          <w:szCs w:val="18"/>
        </w:rPr>
        <w:t>    ...    </w:t>
      </w:r>
      <w:hyperlink r:id="rId14" w:history="1">
        <w:r w:rsidRPr="00605AE1">
          <w:rPr>
            <w:rFonts w:ascii="Arial" w:eastAsia="Times New Roman" w:hAnsi="Arial" w:cs="Arial"/>
            <w:b/>
            <w:bCs/>
            <w:color w:val="355184"/>
            <w:sz w:val="18"/>
            <w:szCs w:val="18"/>
          </w:rPr>
          <w:t>notes</w:t>
        </w:r>
      </w:hyperlink>
      <w:r w:rsidRPr="00605AE1">
        <w:rPr>
          <w:rFonts w:ascii="Arial" w:eastAsia="Times New Roman" w:hAnsi="Arial" w:cs="Arial"/>
          <w:color w:val="333333"/>
          <w:sz w:val="18"/>
          <w:szCs w:val="18"/>
        </w:rPr>
        <w:t> </w:t>
      </w:r>
      <w:r w:rsidRPr="00605AE1">
        <w:rPr>
          <w:rFonts w:ascii="Arial" w:eastAsia="Times New Roman" w:hAnsi="Arial" w:cs="Arial"/>
          <w:b/>
          <w:bCs/>
          <w:color w:val="333333"/>
          <w:sz w:val="18"/>
          <w:szCs w:val="18"/>
        </w:rPr>
        <w:t>| </w:t>
      </w:r>
      <w:hyperlink r:id="rId15" w:history="1">
        <w:r w:rsidRPr="00605AE1">
          <w:rPr>
            <w:rFonts w:ascii="Arial" w:eastAsia="Times New Roman" w:hAnsi="Arial" w:cs="Arial"/>
            <w:b/>
            <w:bCs/>
            <w:color w:val="355184"/>
            <w:sz w:val="18"/>
            <w:szCs w:val="18"/>
          </w:rPr>
          <w:t>add</w:t>
        </w:r>
      </w:hyperlink>
      <w:r w:rsidRPr="00605AE1">
        <w:rPr>
          <w:rFonts w:ascii="Arial" w:eastAsia="Times New Roman" w:hAnsi="Arial" w:cs="Arial"/>
          <w:b/>
          <w:bCs/>
          <w:color w:val="333333"/>
          <w:sz w:val="18"/>
          <w:szCs w:val="18"/>
        </w:rPr>
        <w:t> to my profiles</w:t>
      </w:r>
    </w:p>
    <w:p w:rsidR="00605AE1" w:rsidRPr="00605AE1" w:rsidRDefault="00605AE1" w:rsidP="00605AE1">
      <w:pPr>
        <w:shd w:val="clear" w:color="auto" w:fill="FFFFFF"/>
        <w:spacing w:after="0" w:line="240" w:lineRule="auto"/>
        <w:outlineLvl w:val="3"/>
        <w:rPr>
          <w:rFonts w:ascii="Arial" w:eastAsia="Times New Roman" w:hAnsi="Arial" w:cs="Arial"/>
          <w:b/>
          <w:bCs/>
          <w:color w:val="8A1719"/>
          <w:spacing w:val="15"/>
          <w:sz w:val="18"/>
          <w:szCs w:val="18"/>
        </w:rPr>
      </w:pPr>
      <w:r w:rsidRPr="00605AE1">
        <w:rPr>
          <w:rFonts w:ascii="Arial" w:eastAsia="Times New Roman" w:hAnsi="Arial" w:cs="Arial"/>
          <w:b/>
          <w:bCs/>
          <w:color w:val="8A1719"/>
          <w:spacing w:val="15"/>
          <w:sz w:val="18"/>
          <w:szCs w:val="18"/>
        </w:rPr>
        <w:t>SUMMARY AS PASSED: </w:t>
      </w:r>
      <w:hyperlink r:id="rId16" w:history="1">
        <w:r w:rsidRPr="00605AE1">
          <w:rPr>
            <w:rFonts w:ascii="Arial" w:eastAsia="Times New Roman" w:hAnsi="Arial" w:cs="Arial"/>
            <w:b/>
            <w:bCs/>
            <w:color w:val="355184"/>
            <w:sz w:val="18"/>
            <w:szCs w:val="18"/>
          </w:rPr>
          <w:t>(all summaries)</w:t>
        </w:r>
      </w:hyperlink>
    </w:p>
    <w:p w:rsidR="00605AE1" w:rsidRPr="00605AE1" w:rsidRDefault="00605AE1" w:rsidP="00605AE1">
      <w:pPr>
        <w:shd w:val="clear" w:color="auto" w:fill="FFFFFF"/>
        <w:spacing w:before="100" w:beforeAutospacing="1" w:after="100" w:afterAutospacing="1" w:line="270" w:lineRule="atLeast"/>
        <w:rPr>
          <w:rFonts w:ascii="Arial" w:eastAsia="Times New Roman" w:hAnsi="Arial" w:cs="Arial"/>
          <w:color w:val="333333"/>
          <w:sz w:val="18"/>
          <w:szCs w:val="18"/>
        </w:rPr>
      </w:pPr>
      <w:r w:rsidRPr="00605AE1">
        <w:rPr>
          <w:rFonts w:ascii="Arial" w:eastAsia="Times New Roman" w:hAnsi="Arial" w:cs="Arial"/>
          <w:b/>
          <w:bCs/>
          <w:color w:val="333333"/>
          <w:sz w:val="18"/>
          <w:szCs w:val="18"/>
        </w:rPr>
        <w:t>Virginia Public Procurement Act; architectural and professional engineering term contracting; limitations.</w:t>
      </w:r>
      <w:r w:rsidRPr="00605AE1">
        <w:rPr>
          <w:rFonts w:ascii="Arial" w:eastAsia="Times New Roman" w:hAnsi="Arial" w:cs="Arial"/>
          <w:color w:val="333333"/>
          <w:sz w:val="18"/>
          <w:szCs w:val="18"/>
        </w:rPr>
        <w:t> Provides that the sum of all projects performed in an architectural and professional engineering contract term shall not exceed $10 million, and the fee for any single project shall not exceed $2.5 million. The bill allows a contract for multiple architectural or professional engineering projects to be renewable for up to three additional terms at the option of the public body. Current law limits the sum of all projects performed in a one-year contract term to $750,000, with up to four additional one-year terms at the option of the public body, and limits the fee for any single project to $150,000, with specific exceptions to those limits, including a limit for total projects for rail projects of $5 million and for highway projects, $8 million. The bill also removes specific agency and locality exceptions to such current limits. This bill incorporates </w:t>
      </w:r>
      <w:hyperlink r:id="rId17" w:history="1">
        <w:r w:rsidRPr="00605AE1">
          <w:rPr>
            <w:rFonts w:ascii="Arial" w:eastAsia="Times New Roman" w:hAnsi="Arial" w:cs="Arial"/>
            <w:b/>
            <w:bCs/>
            <w:color w:val="355184"/>
            <w:sz w:val="18"/>
            <w:szCs w:val="18"/>
          </w:rPr>
          <w:t>HB 438 </w:t>
        </w:r>
      </w:hyperlink>
      <w:r w:rsidRPr="00605AE1">
        <w:rPr>
          <w:rFonts w:ascii="Arial" w:eastAsia="Times New Roman" w:hAnsi="Arial" w:cs="Arial"/>
          <w:color w:val="333333"/>
          <w:sz w:val="18"/>
          <w:szCs w:val="18"/>
        </w:rPr>
        <w:t>and is identical to </w:t>
      </w:r>
      <w:hyperlink r:id="rId18" w:history="1">
        <w:r w:rsidRPr="00605AE1">
          <w:rPr>
            <w:rFonts w:ascii="Arial" w:eastAsia="Times New Roman" w:hAnsi="Arial" w:cs="Arial"/>
            <w:b/>
            <w:bCs/>
            <w:color w:val="355184"/>
            <w:sz w:val="18"/>
            <w:szCs w:val="18"/>
          </w:rPr>
          <w:t>SB 225.</w:t>
        </w:r>
      </w:hyperlink>
    </w:p>
    <w:p w:rsidR="00605AE1" w:rsidRPr="00605AE1" w:rsidRDefault="00605AE1" w:rsidP="00605AE1">
      <w:pPr>
        <w:pBdr>
          <w:top w:val="single" w:sz="6" w:space="1" w:color="BEB9A8"/>
        </w:pBdr>
        <w:shd w:val="clear" w:color="auto" w:fill="FFFFFF"/>
        <w:spacing w:after="0" w:line="240" w:lineRule="auto"/>
        <w:outlineLvl w:val="2"/>
        <w:rPr>
          <w:rFonts w:ascii="Arial" w:eastAsia="Times New Roman" w:hAnsi="Arial" w:cs="Arial"/>
          <w:color w:val="8A1719"/>
          <w:spacing w:val="15"/>
          <w:sz w:val="27"/>
          <w:szCs w:val="27"/>
        </w:rPr>
      </w:pPr>
      <w:r w:rsidRPr="00605AE1">
        <w:rPr>
          <w:rFonts w:ascii="Arial" w:eastAsia="Times New Roman" w:hAnsi="Arial" w:cs="Arial"/>
          <w:color w:val="8A1719"/>
          <w:spacing w:val="15"/>
          <w:sz w:val="27"/>
          <w:szCs w:val="27"/>
        </w:rPr>
        <w:t>HB 814 Small Business and Supplier Diversity, Department of; agency procurement enhancement plans.</w:t>
      </w:r>
    </w:p>
    <w:p w:rsidR="00605AE1" w:rsidRPr="00605AE1" w:rsidRDefault="00605AE1" w:rsidP="00605AE1">
      <w:pPr>
        <w:shd w:val="clear" w:color="auto" w:fill="FFFFFF"/>
        <w:spacing w:before="75" w:after="600" w:line="270" w:lineRule="atLeast"/>
        <w:rPr>
          <w:rFonts w:ascii="Arial" w:eastAsia="Times New Roman" w:hAnsi="Arial" w:cs="Arial"/>
          <w:color w:val="333333"/>
          <w:sz w:val="18"/>
          <w:szCs w:val="18"/>
        </w:rPr>
      </w:pPr>
      <w:r w:rsidRPr="00605AE1">
        <w:rPr>
          <w:rFonts w:ascii="Arial" w:eastAsia="Times New Roman" w:hAnsi="Arial" w:cs="Arial"/>
          <w:color w:val="333333"/>
          <w:sz w:val="18"/>
          <w:szCs w:val="18"/>
        </w:rPr>
        <w:t>Introduced by: </w:t>
      </w:r>
      <w:hyperlink r:id="rId19" w:history="1">
        <w:r w:rsidRPr="00605AE1">
          <w:rPr>
            <w:rFonts w:ascii="Arial" w:eastAsia="Times New Roman" w:hAnsi="Arial" w:cs="Arial"/>
            <w:b/>
            <w:bCs/>
            <w:color w:val="355184"/>
            <w:sz w:val="18"/>
            <w:szCs w:val="18"/>
          </w:rPr>
          <w:t xml:space="preserve">Luke E. </w:t>
        </w:r>
        <w:proofErr w:type="spellStart"/>
        <w:r w:rsidRPr="00605AE1">
          <w:rPr>
            <w:rFonts w:ascii="Arial" w:eastAsia="Times New Roman" w:hAnsi="Arial" w:cs="Arial"/>
            <w:b/>
            <w:bCs/>
            <w:color w:val="355184"/>
            <w:sz w:val="18"/>
            <w:szCs w:val="18"/>
          </w:rPr>
          <w:t>Torian</w:t>
        </w:r>
        <w:proofErr w:type="spellEnd"/>
      </w:hyperlink>
      <w:r w:rsidRPr="00605AE1">
        <w:rPr>
          <w:rFonts w:ascii="Arial" w:eastAsia="Times New Roman" w:hAnsi="Arial" w:cs="Arial"/>
          <w:color w:val="333333"/>
          <w:sz w:val="18"/>
          <w:szCs w:val="18"/>
        </w:rPr>
        <w:t> | </w:t>
      </w:r>
      <w:hyperlink r:id="rId20" w:history="1">
        <w:r w:rsidRPr="00605AE1">
          <w:rPr>
            <w:rFonts w:ascii="Arial" w:eastAsia="Times New Roman" w:hAnsi="Arial" w:cs="Arial"/>
            <w:b/>
            <w:bCs/>
            <w:color w:val="355184"/>
            <w:sz w:val="18"/>
            <w:szCs w:val="18"/>
          </w:rPr>
          <w:t>all patrons</w:t>
        </w:r>
      </w:hyperlink>
      <w:r w:rsidRPr="00605AE1">
        <w:rPr>
          <w:rFonts w:ascii="Arial" w:eastAsia="Times New Roman" w:hAnsi="Arial" w:cs="Arial"/>
          <w:color w:val="333333"/>
          <w:sz w:val="18"/>
          <w:szCs w:val="18"/>
        </w:rPr>
        <w:t>    ...    </w:t>
      </w:r>
      <w:hyperlink r:id="rId21" w:history="1">
        <w:r w:rsidRPr="00605AE1">
          <w:rPr>
            <w:rFonts w:ascii="Arial" w:eastAsia="Times New Roman" w:hAnsi="Arial" w:cs="Arial"/>
            <w:b/>
            <w:bCs/>
            <w:color w:val="355184"/>
            <w:sz w:val="18"/>
            <w:szCs w:val="18"/>
          </w:rPr>
          <w:t>notes</w:t>
        </w:r>
      </w:hyperlink>
      <w:r w:rsidRPr="00605AE1">
        <w:rPr>
          <w:rFonts w:ascii="Arial" w:eastAsia="Times New Roman" w:hAnsi="Arial" w:cs="Arial"/>
          <w:color w:val="333333"/>
          <w:sz w:val="18"/>
          <w:szCs w:val="18"/>
        </w:rPr>
        <w:t> </w:t>
      </w:r>
      <w:r w:rsidRPr="00605AE1">
        <w:rPr>
          <w:rFonts w:ascii="Arial" w:eastAsia="Times New Roman" w:hAnsi="Arial" w:cs="Arial"/>
          <w:b/>
          <w:bCs/>
          <w:color w:val="333333"/>
          <w:sz w:val="18"/>
          <w:szCs w:val="18"/>
        </w:rPr>
        <w:t>| </w:t>
      </w:r>
      <w:hyperlink r:id="rId22" w:history="1">
        <w:r w:rsidRPr="00605AE1">
          <w:rPr>
            <w:rFonts w:ascii="Arial" w:eastAsia="Times New Roman" w:hAnsi="Arial" w:cs="Arial"/>
            <w:b/>
            <w:bCs/>
            <w:color w:val="355184"/>
            <w:sz w:val="18"/>
            <w:szCs w:val="18"/>
          </w:rPr>
          <w:t>add</w:t>
        </w:r>
      </w:hyperlink>
      <w:r w:rsidRPr="00605AE1">
        <w:rPr>
          <w:rFonts w:ascii="Arial" w:eastAsia="Times New Roman" w:hAnsi="Arial" w:cs="Arial"/>
          <w:b/>
          <w:bCs/>
          <w:color w:val="333333"/>
          <w:sz w:val="18"/>
          <w:szCs w:val="18"/>
        </w:rPr>
        <w:t> to my profiles</w:t>
      </w:r>
    </w:p>
    <w:p w:rsidR="00605AE1" w:rsidRPr="00605AE1" w:rsidRDefault="00605AE1" w:rsidP="00605AE1">
      <w:pPr>
        <w:shd w:val="clear" w:color="auto" w:fill="FFFFFF"/>
        <w:spacing w:after="0" w:line="240" w:lineRule="auto"/>
        <w:outlineLvl w:val="3"/>
        <w:rPr>
          <w:rFonts w:ascii="Arial" w:eastAsia="Times New Roman" w:hAnsi="Arial" w:cs="Arial"/>
          <w:b/>
          <w:bCs/>
          <w:color w:val="8A1719"/>
          <w:spacing w:val="15"/>
          <w:sz w:val="18"/>
          <w:szCs w:val="18"/>
        </w:rPr>
      </w:pPr>
      <w:r w:rsidRPr="00605AE1">
        <w:rPr>
          <w:rFonts w:ascii="Arial" w:eastAsia="Times New Roman" w:hAnsi="Arial" w:cs="Arial"/>
          <w:b/>
          <w:bCs/>
          <w:color w:val="8A1719"/>
          <w:spacing w:val="15"/>
          <w:sz w:val="18"/>
          <w:szCs w:val="18"/>
        </w:rPr>
        <w:t>SUMMARY AS INTRODUCED:</w:t>
      </w:r>
    </w:p>
    <w:p w:rsidR="00605AE1" w:rsidRPr="00605AE1" w:rsidRDefault="00605AE1" w:rsidP="00605AE1">
      <w:pPr>
        <w:shd w:val="clear" w:color="auto" w:fill="FFFFFF"/>
        <w:spacing w:before="100" w:beforeAutospacing="1" w:after="100" w:afterAutospacing="1" w:line="270" w:lineRule="atLeast"/>
        <w:rPr>
          <w:rFonts w:ascii="Arial" w:eastAsia="Times New Roman" w:hAnsi="Arial" w:cs="Arial"/>
          <w:color w:val="333333"/>
          <w:sz w:val="18"/>
          <w:szCs w:val="18"/>
        </w:rPr>
      </w:pPr>
      <w:r w:rsidRPr="00605AE1">
        <w:rPr>
          <w:rFonts w:ascii="Arial" w:eastAsia="Times New Roman" w:hAnsi="Arial" w:cs="Arial"/>
          <w:b/>
          <w:bCs/>
          <w:color w:val="333333"/>
          <w:sz w:val="18"/>
          <w:szCs w:val="18"/>
        </w:rPr>
        <w:t>Department of Small Business and Supplier Diversity; agency procurement enhancement plans.</w:t>
      </w:r>
      <w:r w:rsidRPr="00605AE1">
        <w:rPr>
          <w:rFonts w:ascii="Arial" w:eastAsia="Times New Roman" w:hAnsi="Arial" w:cs="Arial"/>
          <w:color w:val="333333"/>
          <w:sz w:val="18"/>
          <w:szCs w:val="18"/>
        </w:rPr>
        <w:t> Directs the Department of Small Business and Supplier Diversity to annually review and provide feedback on state agencies' plans to enhance procurement from small, women-owned, and minority-owned businesses.</w:t>
      </w:r>
    </w:p>
    <w:p w:rsidR="00605AE1" w:rsidRPr="00605AE1" w:rsidRDefault="00605AE1" w:rsidP="00605AE1">
      <w:pPr>
        <w:pBdr>
          <w:top w:val="single" w:sz="6" w:space="1" w:color="BEB9A8"/>
        </w:pBdr>
        <w:shd w:val="clear" w:color="auto" w:fill="FFFFFF"/>
        <w:spacing w:after="0" w:line="240" w:lineRule="auto"/>
        <w:outlineLvl w:val="2"/>
        <w:rPr>
          <w:rFonts w:ascii="Arial" w:eastAsia="Times New Roman" w:hAnsi="Arial" w:cs="Arial"/>
          <w:color w:val="8A1719"/>
          <w:spacing w:val="15"/>
          <w:sz w:val="27"/>
          <w:szCs w:val="27"/>
        </w:rPr>
      </w:pPr>
      <w:r w:rsidRPr="00605AE1">
        <w:rPr>
          <w:rFonts w:ascii="Arial" w:eastAsia="Times New Roman" w:hAnsi="Arial" w:cs="Arial"/>
          <w:color w:val="8A1719"/>
          <w:spacing w:val="15"/>
          <w:sz w:val="27"/>
          <w:szCs w:val="27"/>
        </w:rPr>
        <w:lastRenderedPageBreak/>
        <w:t>HB 964 Virginia Public Procurement Act; methods of procurement, submitting bids electronically.</w:t>
      </w:r>
    </w:p>
    <w:p w:rsidR="00605AE1" w:rsidRPr="00605AE1" w:rsidRDefault="00605AE1" w:rsidP="00605AE1">
      <w:pPr>
        <w:shd w:val="clear" w:color="auto" w:fill="FFFFFF"/>
        <w:spacing w:before="75" w:after="600" w:line="270" w:lineRule="atLeast"/>
        <w:rPr>
          <w:rFonts w:ascii="Arial" w:eastAsia="Times New Roman" w:hAnsi="Arial" w:cs="Arial"/>
          <w:color w:val="333333"/>
          <w:sz w:val="18"/>
          <w:szCs w:val="18"/>
        </w:rPr>
      </w:pPr>
      <w:r w:rsidRPr="00605AE1">
        <w:rPr>
          <w:rFonts w:ascii="Arial" w:eastAsia="Times New Roman" w:hAnsi="Arial" w:cs="Arial"/>
          <w:color w:val="333333"/>
          <w:sz w:val="18"/>
          <w:szCs w:val="18"/>
        </w:rPr>
        <w:t>Introduced by: </w:t>
      </w:r>
      <w:proofErr w:type="spellStart"/>
      <w:r w:rsidRPr="00605AE1">
        <w:rPr>
          <w:rFonts w:ascii="Arial" w:eastAsia="Times New Roman" w:hAnsi="Arial" w:cs="Arial"/>
          <w:color w:val="333333"/>
          <w:sz w:val="18"/>
          <w:szCs w:val="18"/>
        </w:rPr>
        <w:fldChar w:fldCharType="begin"/>
      </w:r>
      <w:r w:rsidRPr="00605AE1">
        <w:rPr>
          <w:rFonts w:ascii="Arial" w:eastAsia="Times New Roman" w:hAnsi="Arial" w:cs="Arial"/>
          <w:color w:val="333333"/>
          <w:sz w:val="18"/>
          <w:szCs w:val="18"/>
        </w:rPr>
        <w:instrText xml:space="preserve"> HYPERLINK "https://lis.virginia.gov/cgi-bin/legp604.exe?221+mbr+H324" </w:instrText>
      </w:r>
      <w:r w:rsidRPr="00605AE1">
        <w:rPr>
          <w:rFonts w:ascii="Arial" w:eastAsia="Times New Roman" w:hAnsi="Arial" w:cs="Arial"/>
          <w:color w:val="333333"/>
          <w:sz w:val="18"/>
          <w:szCs w:val="18"/>
        </w:rPr>
        <w:fldChar w:fldCharType="separate"/>
      </w:r>
      <w:r w:rsidRPr="00605AE1">
        <w:rPr>
          <w:rFonts w:ascii="Arial" w:eastAsia="Times New Roman" w:hAnsi="Arial" w:cs="Arial"/>
          <w:b/>
          <w:bCs/>
          <w:color w:val="355184"/>
          <w:sz w:val="18"/>
          <w:szCs w:val="18"/>
        </w:rPr>
        <w:t>Suhas</w:t>
      </w:r>
      <w:proofErr w:type="spellEnd"/>
      <w:r w:rsidRPr="00605AE1">
        <w:rPr>
          <w:rFonts w:ascii="Arial" w:eastAsia="Times New Roman" w:hAnsi="Arial" w:cs="Arial"/>
          <w:b/>
          <w:bCs/>
          <w:color w:val="355184"/>
          <w:sz w:val="18"/>
          <w:szCs w:val="18"/>
        </w:rPr>
        <w:t xml:space="preserve"> </w:t>
      </w:r>
      <w:proofErr w:type="spellStart"/>
      <w:r w:rsidRPr="00605AE1">
        <w:rPr>
          <w:rFonts w:ascii="Arial" w:eastAsia="Times New Roman" w:hAnsi="Arial" w:cs="Arial"/>
          <w:b/>
          <w:bCs/>
          <w:color w:val="355184"/>
          <w:sz w:val="18"/>
          <w:szCs w:val="18"/>
        </w:rPr>
        <w:t>Subramanyam</w:t>
      </w:r>
      <w:proofErr w:type="spellEnd"/>
      <w:r w:rsidRPr="00605AE1">
        <w:rPr>
          <w:rFonts w:ascii="Arial" w:eastAsia="Times New Roman" w:hAnsi="Arial" w:cs="Arial"/>
          <w:color w:val="333333"/>
          <w:sz w:val="18"/>
          <w:szCs w:val="18"/>
        </w:rPr>
        <w:fldChar w:fldCharType="end"/>
      </w:r>
      <w:r w:rsidRPr="00605AE1">
        <w:rPr>
          <w:rFonts w:ascii="Arial" w:eastAsia="Times New Roman" w:hAnsi="Arial" w:cs="Arial"/>
          <w:color w:val="333333"/>
          <w:sz w:val="18"/>
          <w:szCs w:val="18"/>
        </w:rPr>
        <w:t> | </w:t>
      </w:r>
      <w:hyperlink r:id="rId23" w:history="1">
        <w:r w:rsidRPr="00605AE1">
          <w:rPr>
            <w:rFonts w:ascii="Arial" w:eastAsia="Times New Roman" w:hAnsi="Arial" w:cs="Arial"/>
            <w:b/>
            <w:bCs/>
            <w:color w:val="355184"/>
            <w:sz w:val="18"/>
            <w:szCs w:val="18"/>
          </w:rPr>
          <w:t>all patrons</w:t>
        </w:r>
      </w:hyperlink>
      <w:r w:rsidRPr="00605AE1">
        <w:rPr>
          <w:rFonts w:ascii="Arial" w:eastAsia="Times New Roman" w:hAnsi="Arial" w:cs="Arial"/>
          <w:color w:val="333333"/>
          <w:sz w:val="18"/>
          <w:szCs w:val="18"/>
        </w:rPr>
        <w:t>    ...    </w:t>
      </w:r>
      <w:hyperlink r:id="rId24" w:history="1">
        <w:r w:rsidRPr="00605AE1">
          <w:rPr>
            <w:rFonts w:ascii="Arial" w:eastAsia="Times New Roman" w:hAnsi="Arial" w:cs="Arial"/>
            <w:b/>
            <w:bCs/>
            <w:color w:val="355184"/>
            <w:sz w:val="18"/>
            <w:szCs w:val="18"/>
          </w:rPr>
          <w:t>notes</w:t>
        </w:r>
      </w:hyperlink>
      <w:r w:rsidRPr="00605AE1">
        <w:rPr>
          <w:rFonts w:ascii="Arial" w:eastAsia="Times New Roman" w:hAnsi="Arial" w:cs="Arial"/>
          <w:color w:val="333333"/>
          <w:sz w:val="18"/>
          <w:szCs w:val="18"/>
        </w:rPr>
        <w:t> </w:t>
      </w:r>
      <w:r w:rsidRPr="00605AE1">
        <w:rPr>
          <w:rFonts w:ascii="Arial" w:eastAsia="Times New Roman" w:hAnsi="Arial" w:cs="Arial"/>
          <w:b/>
          <w:bCs/>
          <w:color w:val="333333"/>
          <w:sz w:val="18"/>
          <w:szCs w:val="18"/>
        </w:rPr>
        <w:t>| </w:t>
      </w:r>
      <w:hyperlink r:id="rId25" w:history="1">
        <w:r w:rsidRPr="00605AE1">
          <w:rPr>
            <w:rFonts w:ascii="Arial" w:eastAsia="Times New Roman" w:hAnsi="Arial" w:cs="Arial"/>
            <w:b/>
            <w:bCs/>
            <w:color w:val="355184"/>
            <w:sz w:val="18"/>
            <w:szCs w:val="18"/>
          </w:rPr>
          <w:t>add</w:t>
        </w:r>
      </w:hyperlink>
      <w:r w:rsidRPr="00605AE1">
        <w:rPr>
          <w:rFonts w:ascii="Arial" w:eastAsia="Times New Roman" w:hAnsi="Arial" w:cs="Arial"/>
          <w:b/>
          <w:bCs/>
          <w:color w:val="333333"/>
          <w:sz w:val="18"/>
          <w:szCs w:val="18"/>
        </w:rPr>
        <w:t> to my profiles</w:t>
      </w:r>
    </w:p>
    <w:p w:rsidR="00605AE1" w:rsidRPr="00605AE1" w:rsidRDefault="00605AE1" w:rsidP="00605AE1">
      <w:pPr>
        <w:shd w:val="clear" w:color="auto" w:fill="FFFFFF"/>
        <w:spacing w:after="0" w:line="240" w:lineRule="auto"/>
        <w:outlineLvl w:val="3"/>
        <w:rPr>
          <w:rFonts w:ascii="Arial" w:eastAsia="Times New Roman" w:hAnsi="Arial" w:cs="Arial"/>
          <w:b/>
          <w:bCs/>
          <w:color w:val="8A1719"/>
          <w:spacing w:val="15"/>
          <w:sz w:val="18"/>
          <w:szCs w:val="18"/>
        </w:rPr>
      </w:pPr>
      <w:r w:rsidRPr="00605AE1">
        <w:rPr>
          <w:rFonts w:ascii="Arial" w:eastAsia="Times New Roman" w:hAnsi="Arial" w:cs="Arial"/>
          <w:b/>
          <w:bCs/>
          <w:color w:val="8A1719"/>
          <w:spacing w:val="15"/>
          <w:sz w:val="18"/>
          <w:szCs w:val="18"/>
        </w:rPr>
        <w:t>SUMMARY AS PASSED: </w:t>
      </w:r>
      <w:hyperlink r:id="rId26" w:history="1">
        <w:r w:rsidRPr="00605AE1">
          <w:rPr>
            <w:rFonts w:ascii="Arial" w:eastAsia="Times New Roman" w:hAnsi="Arial" w:cs="Arial"/>
            <w:b/>
            <w:bCs/>
            <w:color w:val="355184"/>
            <w:sz w:val="18"/>
            <w:szCs w:val="18"/>
          </w:rPr>
          <w:t>(all summaries)</w:t>
        </w:r>
      </w:hyperlink>
    </w:p>
    <w:p w:rsidR="00605AE1" w:rsidRPr="00605AE1" w:rsidRDefault="00605AE1" w:rsidP="00605AE1">
      <w:pPr>
        <w:shd w:val="clear" w:color="auto" w:fill="FFFFFF"/>
        <w:spacing w:before="100" w:beforeAutospacing="1" w:after="100" w:afterAutospacing="1" w:line="270" w:lineRule="atLeast"/>
        <w:rPr>
          <w:rFonts w:ascii="Arial" w:eastAsia="Times New Roman" w:hAnsi="Arial" w:cs="Arial"/>
          <w:color w:val="333333"/>
          <w:sz w:val="18"/>
          <w:szCs w:val="18"/>
        </w:rPr>
      </w:pPr>
      <w:r w:rsidRPr="00605AE1">
        <w:rPr>
          <w:rFonts w:ascii="Arial" w:eastAsia="Times New Roman" w:hAnsi="Arial" w:cs="Arial"/>
          <w:b/>
          <w:bCs/>
          <w:color w:val="333333"/>
          <w:sz w:val="18"/>
          <w:szCs w:val="18"/>
        </w:rPr>
        <w:t>Virginia Public Procurement Act; methods of procurement; submitting bids electronically.</w:t>
      </w:r>
      <w:r w:rsidRPr="00605AE1">
        <w:rPr>
          <w:rFonts w:ascii="Arial" w:eastAsia="Times New Roman" w:hAnsi="Arial" w:cs="Arial"/>
          <w:color w:val="333333"/>
          <w:sz w:val="18"/>
          <w:szCs w:val="18"/>
        </w:rPr>
        <w:t xml:space="preserve"> Provides that all state public bodies accepting bids or proposals for contracts pursuant to the Virginia Public Procurement Act shall provide an option to submit bids or proposals through the Commonwealth's electronic procurement system, known as </w:t>
      </w:r>
      <w:proofErr w:type="spellStart"/>
      <w:r w:rsidRPr="00605AE1">
        <w:rPr>
          <w:rFonts w:ascii="Arial" w:eastAsia="Times New Roman" w:hAnsi="Arial" w:cs="Arial"/>
          <w:color w:val="333333"/>
          <w:sz w:val="18"/>
          <w:szCs w:val="18"/>
        </w:rPr>
        <w:t>eVA</w:t>
      </w:r>
      <w:proofErr w:type="spellEnd"/>
      <w:r w:rsidRPr="00605AE1">
        <w:rPr>
          <w:rFonts w:ascii="Arial" w:eastAsia="Times New Roman" w:hAnsi="Arial" w:cs="Arial"/>
          <w:color w:val="333333"/>
          <w:sz w:val="18"/>
          <w:szCs w:val="18"/>
        </w:rPr>
        <w:t xml:space="preserve">. The Director of the Department of General Services, or his designee, is authorized under the bill to grant an exemption from such requirement at the request of a state public body and upon a showing of good cause. In the bill, local public bodies are encouraged to use </w:t>
      </w:r>
      <w:proofErr w:type="spellStart"/>
      <w:r w:rsidRPr="00605AE1">
        <w:rPr>
          <w:rFonts w:ascii="Arial" w:eastAsia="Times New Roman" w:hAnsi="Arial" w:cs="Arial"/>
          <w:color w:val="333333"/>
          <w:sz w:val="18"/>
          <w:szCs w:val="18"/>
        </w:rPr>
        <w:t>eVA</w:t>
      </w:r>
      <w:proofErr w:type="spellEnd"/>
      <w:r w:rsidRPr="00605AE1">
        <w:rPr>
          <w:rFonts w:ascii="Arial" w:eastAsia="Times New Roman" w:hAnsi="Arial" w:cs="Arial"/>
          <w:color w:val="333333"/>
          <w:sz w:val="18"/>
          <w:szCs w:val="18"/>
        </w:rPr>
        <w:t xml:space="preserve"> to offer an electronic submission option. The bill has a delayed effective date of July 1, 2023.</w:t>
      </w:r>
    </w:p>
    <w:p w:rsidR="00605AE1" w:rsidRDefault="00605AE1" w:rsidP="00605AE1">
      <w:pPr>
        <w:pStyle w:val="Heading3"/>
        <w:pBdr>
          <w:top w:val="single" w:sz="6" w:space="1" w:color="BEB9A8"/>
        </w:pBdr>
        <w:shd w:val="clear" w:color="auto" w:fill="FFFFFF"/>
        <w:spacing w:before="0" w:beforeAutospacing="0" w:after="0" w:afterAutospacing="0"/>
        <w:rPr>
          <w:rFonts w:ascii="Arial" w:hAnsi="Arial" w:cs="Arial"/>
          <w:b w:val="0"/>
          <w:bCs w:val="0"/>
          <w:color w:val="8A1719"/>
          <w:spacing w:val="15"/>
        </w:rPr>
      </w:pPr>
      <w:r>
        <w:rPr>
          <w:rFonts w:ascii="Arial" w:hAnsi="Arial" w:cs="Arial"/>
          <w:b w:val="0"/>
          <w:bCs w:val="0"/>
          <w:color w:val="8A1719"/>
          <w:spacing w:val="15"/>
        </w:rPr>
        <w:t>HB 1310 Virginia Public Procurement Act; revision of procurement procedures.</w:t>
      </w:r>
    </w:p>
    <w:p w:rsidR="00605AE1" w:rsidRDefault="00605AE1" w:rsidP="00605AE1">
      <w:pPr>
        <w:pStyle w:val="sectmarg"/>
        <w:shd w:val="clear" w:color="auto" w:fill="FFFFFF"/>
        <w:spacing w:before="75" w:beforeAutospacing="0" w:after="600" w:afterAutospacing="0" w:line="270" w:lineRule="atLeast"/>
        <w:rPr>
          <w:rFonts w:ascii="Arial" w:hAnsi="Arial" w:cs="Arial"/>
          <w:color w:val="333333"/>
          <w:sz w:val="18"/>
          <w:szCs w:val="18"/>
        </w:rPr>
      </w:pPr>
      <w:r>
        <w:rPr>
          <w:rFonts w:ascii="Arial" w:hAnsi="Arial" w:cs="Arial"/>
          <w:color w:val="333333"/>
          <w:sz w:val="18"/>
          <w:szCs w:val="18"/>
        </w:rPr>
        <w:t>Introduced by: </w:t>
      </w:r>
      <w:hyperlink r:id="rId27" w:history="1">
        <w:r>
          <w:rPr>
            <w:rStyle w:val="Hyperlink"/>
            <w:rFonts w:ascii="Arial" w:hAnsi="Arial" w:cs="Arial"/>
            <w:b/>
            <w:bCs/>
            <w:color w:val="355184"/>
            <w:sz w:val="18"/>
            <w:szCs w:val="18"/>
            <w:u w:val="none"/>
          </w:rPr>
          <w:t>Irene Shin</w:t>
        </w:r>
      </w:hyperlink>
      <w:r>
        <w:rPr>
          <w:rFonts w:ascii="Arial" w:hAnsi="Arial" w:cs="Arial"/>
          <w:color w:val="333333"/>
          <w:sz w:val="18"/>
          <w:szCs w:val="18"/>
        </w:rPr>
        <w:t> | </w:t>
      </w:r>
      <w:hyperlink r:id="rId28" w:history="1">
        <w:r>
          <w:rPr>
            <w:rStyle w:val="Hyperlink"/>
            <w:rFonts w:ascii="Arial" w:hAnsi="Arial" w:cs="Arial"/>
            <w:b/>
            <w:bCs/>
            <w:color w:val="355184"/>
            <w:sz w:val="18"/>
            <w:szCs w:val="18"/>
            <w:u w:val="none"/>
          </w:rPr>
          <w:t>all patrons</w:t>
        </w:r>
      </w:hyperlink>
      <w:r>
        <w:rPr>
          <w:rFonts w:ascii="Arial" w:hAnsi="Arial" w:cs="Arial"/>
          <w:color w:val="333333"/>
          <w:sz w:val="18"/>
          <w:szCs w:val="18"/>
        </w:rPr>
        <w:t>    ...    </w:t>
      </w:r>
      <w:hyperlink r:id="rId29" w:history="1">
        <w:r>
          <w:rPr>
            <w:rStyle w:val="Hyperlink"/>
            <w:rFonts w:ascii="Arial" w:hAnsi="Arial" w:cs="Arial"/>
            <w:b/>
            <w:bCs/>
            <w:color w:val="355184"/>
            <w:sz w:val="18"/>
            <w:szCs w:val="18"/>
            <w:u w:val="none"/>
          </w:rPr>
          <w:t>notes</w:t>
        </w:r>
      </w:hyperlink>
      <w:r>
        <w:rPr>
          <w:rFonts w:ascii="Arial" w:hAnsi="Arial" w:cs="Arial"/>
          <w:color w:val="333333"/>
          <w:sz w:val="18"/>
          <w:szCs w:val="18"/>
        </w:rPr>
        <w:t> </w:t>
      </w:r>
      <w:r>
        <w:rPr>
          <w:rFonts w:ascii="Arial" w:hAnsi="Arial" w:cs="Arial"/>
          <w:b/>
          <w:bCs/>
          <w:color w:val="333333"/>
          <w:sz w:val="18"/>
          <w:szCs w:val="18"/>
        </w:rPr>
        <w:t>| </w:t>
      </w:r>
      <w:hyperlink r:id="rId30" w:history="1">
        <w:r>
          <w:rPr>
            <w:rStyle w:val="Hyperlink"/>
            <w:rFonts w:ascii="Arial" w:hAnsi="Arial" w:cs="Arial"/>
            <w:b/>
            <w:bCs/>
            <w:color w:val="355184"/>
            <w:sz w:val="18"/>
            <w:szCs w:val="18"/>
            <w:u w:val="none"/>
          </w:rPr>
          <w:t>add</w:t>
        </w:r>
      </w:hyperlink>
      <w:r>
        <w:rPr>
          <w:rFonts w:ascii="Arial" w:hAnsi="Arial" w:cs="Arial"/>
          <w:b/>
          <w:bCs/>
          <w:color w:val="333333"/>
          <w:sz w:val="18"/>
          <w:szCs w:val="18"/>
        </w:rPr>
        <w:t> to my profiles</w:t>
      </w:r>
    </w:p>
    <w:p w:rsidR="00605AE1" w:rsidRDefault="00605AE1" w:rsidP="00605AE1">
      <w:pPr>
        <w:pStyle w:val="Heading4"/>
        <w:shd w:val="clear" w:color="auto" w:fill="FFFFFF"/>
        <w:spacing w:before="0" w:beforeAutospacing="0" w:after="0" w:afterAutospacing="0"/>
        <w:rPr>
          <w:rFonts w:ascii="Arial" w:hAnsi="Arial" w:cs="Arial"/>
          <w:color w:val="8A1719"/>
          <w:spacing w:val="15"/>
          <w:sz w:val="18"/>
          <w:szCs w:val="18"/>
        </w:rPr>
      </w:pPr>
      <w:r>
        <w:rPr>
          <w:rFonts w:ascii="Arial" w:hAnsi="Arial" w:cs="Arial"/>
          <w:color w:val="8A1719"/>
          <w:spacing w:val="15"/>
          <w:sz w:val="18"/>
          <w:szCs w:val="18"/>
        </w:rPr>
        <w:t>SUMMARY AS PASSED HOUSE: </w:t>
      </w:r>
      <w:hyperlink r:id="rId31" w:history="1">
        <w:r>
          <w:rPr>
            <w:rStyle w:val="Hyperlink"/>
            <w:rFonts w:ascii="Arial" w:hAnsi="Arial" w:cs="Arial"/>
            <w:color w:val="355184"/>
            <w:sz w:val="18"/>
            <w:szCs w:val="18"/>
            <w:u w:val="none"/>
          </w:rPr>
          <w:t>(all summaries)</w:t>
        </w:r>
      </w:hyperlink>
    </w:p>
    <w:p w:rsidR="00605AE1" w:rsidRDefault="00605AE1" w:rsidP="00605AE1">
      <w:pPr>
        <w:pStyle w:val="NormalWeb"/>
        <w:shd w:val="clear" w:color="auto" w:fill="FFFFFF"/>
        <w:spacing w:line="270" w:lineRule="atLeast"/>
        <w:rPr>
          <w:rFonts w:ascii="Arial" w:hAnsi="Arial" w:cs="Arial"/>
          <w:color w:val="333333"/>
          <w:sz w:val="18"/>
          <w:szCs w:val="18"/>
        </w:rPr>
      </w:pPr>
      <w:r>
        <w:rPr>
          <w:rFonts w:ascii="Arial" w:hAnsi="Arial" w:cs="Arial"/>
          <w:b/>
          <w:bCs/>
          <w:color w:val="333333"/>
          <w:sz w:val="18"/>
          <w:szCs w:val="18"/>
        </w:rPr>
        <w:t>Virginia Public Procurement Act; revision of procurement procedures.</w:t>
      </w:r>
      <w:r>
        <w:rPr>
          <w:rFonts w:ascii="Arial" w:hAnsi="Arial" w:cs="Arial"/>
          <w:color w:val="333333"/>
          <w:sz w:val="18"/>
          <w:szCs w:val="18"/>
        </w:rPr>
        <w:t> Provides that the Department of General Services and the Virginia Information Technologies Agency shall review and revise their procurement procedures to encourage the use of U.S. General Services Administration contracts or contracts awarded by any other agency of the United States government where appropriate.</w:t>
      </w:r>
    </w:p>
    <w:p w:rsidR="00605AE1" w:rsidRDefault="00605AE1" w:rsidP="00605AE1">
      <w:pPr>
        <w:pStyle w:val="Heading3"/>
        <w:pBdr>
          <w:top w:val="single" w:sz="6" w:space="1" w:color="BEB9A8"/>
        </w:pBdr>
        <w:shd w:val="clear" w:color="auto" w:fill="FFFFFF"/>
        <w:spacing w:before="0" w:beforeAutospacing="0" w:after="0" w:afterAutospacing="0"/>
        <w:rPr>
          <w:rFonts w:ascii="Arial" w:hAnsi="Arial" w:cs="Arial"/>
          <w:b w:val="0"/>
          <w:bCs w:val="0"/>
          <w:color w:val="8A1719"/>
          <w:spacing w:val="15"/>
        </w:rPr>
      </w:pPr>
      <w:r>
        <w:rPr>
          <w:rFonts w:ascii="Arial" w:hAnsi="Arial" w:cs="Arial"/>
          <w:b w:val="0"/>
          <w:bCs w:val="0"/>
          <w:color w:val="8A1719"/>
          <w:spacing w:val="15"/>
        </w:rPr>
        <w:t xml:space="preserve">SB 210 Virginia Public Procurement Act; public higher educational institutions, disclosure by </w:t>
      </w:r>
      <w:proofErr w:type="spellStart"/>
      <w:r>
        <w:rPr>
          <w:rFonts w:ascii="Arial" w:hAnsi="Arial" w:cs="Arial"/>
          <w:b w:val="0"/>
          <w:bCs w:val="0"/>
          <w:color w:val="8A1719"/>
          <w:spacing w:val="15"/>
        </w:rPr>
        <w:t>offerors</w:t>
      </w:r>
      <w:proofErr w:type="spellEnd"/>
      <w:r>
        <w:rPr>
          <w:rFonts w:ascii="Arial" w:hAnsi="Arial" w:cs="Arial"/>
          <w:b w:val="0"/>
          <w:bCs w:val="0"/>
          <w:color w:val="8A1719"/>
          <w:spacing w:val="15"/>
        </w:rPr>
        <w:t>.</w:t>
      </w:r>
    </w:p>
    <w:p w:rsidR="00605AE1" w:rsidRDefault="00605AE1" w:rsidP="00605AE1">
      <w:pPr>
        <w:pStyle w:val="sectmarg"/>
        <w:shd w:val="clear" w:color="auto" w:fill="FFFFFF"/>
        <w:spacing w:before="75" w:beforeAutospacing="0" w:after="600" w:afterAutospacing="0" w:line="270" w:lineRule="atLeast"/>
        <w:rPr>
          <w:rFonts w:ascii="Arial" w:hAnsi="Arial" w:cs="Arial"/>
          <w:color w:val="333333"/>
          <w:sz w:val="18"/>
          <w:szCs w:val="18"/>
        </w:rPr>
      </w:pPr>
      <w:r>
        <w:rPr>
          <w:rFonts w:ascii="Arial" w:hAnsi="Arial" w:cs="Arial"/>
          <w:color w:val="333333"/>
          <w:sz w:val="18"/>
          <w:szCs w:val="18"/>
        </w:rPr>
        <w:t>Introduced by: </w:t>
      </w:r>
      <w:hyperlink r:id="rId32" w:history="1">
        <w:r>
          <w:rPr>
            <w:rStyle w:val="Hyperlink"/>
            <w:rFonts w:ascii="Arial" w:hAnsi="Arial" w:cs="Arial"/>
            <w:b/>
            <w:bCs/>
            <w:color w:val="355184"/>
            <w:sz w:val="18"/>
            <w:szCs w:val="18"/>
            <w:u w:val="none"/>
          </w:rPr>
          <w:t>J. Chapman Petersen</w:t>
        </w:r>
      </w:hyperlink>
      <w:r>
        <w:rPr>
          <w:rFonts w:ascii="Arial" w:hAnsi="Arial" w:cs="Arial"/>
          <w:color w:val="333333"/>
          <w:sz w:val="18"/>
          <w:szCs w:val="18"/>
        </w:rPr>
        <w:t> | </w:t>
      </w:r>
      <w:hyperlink r:id="rId33" w:history="1">
        <w:r>
          <w:rPr>
            <w:rStyle w:val="Hyperlink"/>
            <w:rFonts w:ascii="Arial" w:hAnsi="Arial" w:cs="Arial"/>
            <w:b/>
            <w:bCs/>
            <w:color w:val="355184"/>
            <w:sz w:val="18"/>
            <w:szCs w:val="18"/>
            <w:u w:val="none"/>
          </w:rPr>
          <w:t>all patrons</w:t>
        </w:r>
      </w:hyperlink>
      <w:r>
        <w:rPr>
          <w:rFonts w:ascii="Arial" w:hAnsi="Arial" w:cs="Arial"/>
          <w:color w:val="333333"/>
          <w:sz w:val="18"/>
          <w:szCs w:val="18"/>
        </w:rPr>
        <w:t>    ...    </w:t>
      </w:r>
      <w:hyperlink r:id="rId34" w:history="1">
        <w:r>
          <w:rPr>
            <w:rStyle w:val="Hyperlink"/>
            <w:rFonts w:ascii="Arial" w:hAnsi="Arial" w:cs="Arial"/>
            <w:b/>
            <w:bCs/>
            <w:color w:val="355184"/>
            <w:sz w:val="18"/>
            <w:szCs w:val="18"/>
            <w:u w:val="none"/>
          </w:rPr>
          <w:t>notes</w:t>
        </w:r>
      </w:hyperlink>
      <w:r>
        <w:rPr>
          <w:rFonts w:ascii="Arial" w:hAnsi="Arial" w:cs="Arial"/>
          <w:color w:val="333333"/>
          <w:sz w:val="18"/>
          <w:szCs w:val="18"/>
        </w:rPr>
        <w:t> </w:t>
      </w:r>
      <w:r>
        <w:rPr>
          <w:rFonts w:ascii="Arial" w:hAnsi="Arial" w:cs="Arial"/>
          <w:b/>
          <w:bCs/>
          <w:color w:val="333333"/>
          <w:sz w:val="18"/>
          <w:szCs w:val="18"/>
        </w:rPr>
        <w:t>| </w:t>
      </w:r>
      <w:hyperlink r:id="rId35" w:history="1">
        <w:r>
          <w:rPr>
            <w:rStyle w:val="Hyperlink"/>
            <w:rFonts w:ascii="Arial" w:hAnsi="Arial" w:cs="Arial"/>
            <w:b/>
            <w:bCs/>
            <w:color w:val="355184"/>
            <w:sz w:val="18"/>
            <w:szCs w:val="18"/>
            <w:u w:val="none"/>
          </w:rPr>
          <w:t>add</w:t>
        </w:r>
      </w:hyperlink>
      <w:r>
        <w:rPr>
          <w:rFonts w:ascii="Arial" w:hAnsi="Arial" w:cs="Arial"/>
          <w:b/>
          <w:bCs/>
          <w:color w:val="333333"/>
          <w:sz w:val="18"/>
          <w:szCs w:val="18"/>
        </w:rPr>
        <w:t> to my profiles</w:t>
      </w:r>
    </w:p>
    <w:p w:rsidR="00605AE1" w:rsidRDefault="00605AE1" w:rsidP="00605AE1">
      <w:pPr>
        <w:pStyle w:val="Heading4"/>
        <w:shd w:val="clear" w:color="auto" w:fill="FFFFFF"/>
        <w:spacing w:before="0" w:beforeAutospacing="0" w:after="0" w:afterAutospacing="0"/>
        <w:rPr>
          <w:rFonts w:ascii="Arial" w:hAnsi="Arial" w:cs="Arial"/>
          <w:color w:val="8A1719"/>
          <w:spacing w:val="15"/>
          <w:sz w:val="18"/>
          <w:szCs w:val="18"/>
        </w:rPr>
      </w:pPr>
      <w:r>
        <w:rPr>
          <w:rFonts w:ascii="Arial" w:hAnsi="Arial" w:cs="Arial"/>
          <w:color w:val="8A1719"/>
          <w:spacing w:val="15"/>
          <w:sz w:val="18"/>
          <w:szCs w:val="18"/>
        </w:rPr>
        <w:t>SUMMARY AS PASSED: </w:t>
      </w:r>
      <w:hyperlink r:id="rId36" w:history="1">
        <w:r>
          <w:rPr>
            <w:rStyle w:val="Hyperlink"/>
            <w:rFonts w:ascii="Arial" w:hAnsi="Arial" w:cs="Arial"/>
            <w:color w:val="355184"/>
            <w:sz w:val="18"/>
            <w:szCs w:val="18"/>
            <w:u w:val="none"/>
          </w:rPr>
          <w:t>(all summaries)</w:t>
        </w:r>
      </w:hyperlink>
    </w:p>
    <w:p w:rsidR="00605AE1" w:rsidRDefault="00605AE1" w:rsidP="00605AE1">
      <w:pPr>
        <w:pStyle w:val="NormalWeb"/>
        <w:shd w:val="clear" w:color="auto" w:fill="FFFFFF"/>
        <w:spacing w:line="270" w:lineRule="atLeast"/>
        <w:rPr>
          <w:rFonts w:ascii="Arial" w:hAnsi="Arial" w:cs="Arial"/>
          <w:color w:val="333333"/>
          <w:sz w:val="18"/>
          <w:szCs w:val="18"/>
        </w:rPr>
      </w:pPr>
      <w:r>
        <w:rPr>
          <w:rFonts w:ascii="Arial" w:hAnsi="Arial" w:cs="Arial"/>
          <w:b/>
          <w:bCs/>
          <w:color w:val="333333"/>
          <w:sz w:val="18"/>
          <w:szCs w:val="18"/>
        </w:rPr>
        <w:t xml:space="preserve">Virginia Public Procurement Act; public institutions of higher education; disclosure required by certain </w:t>
      </w:r>
      <w:proofErr w:type="spellStart"/>
      <w:r>
        <w:rPr>
          <w:rFonts w:ascii="Arial" w:hAnsi="Arial" w:cs="Arial"/>
          <w:b/>
          <w:bCs/>
          <w:color w:val="333333"/>
          <w:sz w:val="18"/>
          <w:szCs w:val="18"/>
        </w:rPr>
        <w:t>offerors</w:t>
      </w:r>
      <w:proofErr w:type="spellEnd"/>
      <w:r>
        <w:rPr>
          <w:rFonts w:ascii="Arial" w:hAnsi="Arial" w:cs="Arial"/>
          <w:b/>
          <w:bCs/>
          <w:color w:val="333333"/>
          <w:sz w:val="18"/>
          <w:szCs w:val="18"/>
        </w:rPr>
        <w:t>; civil penalty.</w:t>
      </w:r>
      <w:r>
        <w:rPr>
          <w:rFonts w:ascii="Arial" w:hAnsi="Arial" w:cs="Arial"/>
          <w:color w:val="333333"/>
          <w:sz w:val="18"/>
          <w:szCs w:val="18"/>
        </w:rPr>
        <w:t xml:space="preserve"> Requires every </w:t>
      </w:r>
      <w:proofErr w:type="spellStart"/>
      <w:r>
        <w:rPr>
          <w:rFonts w:ascii="Arial" w:hAnsi="Arial" w:cs="Arial"/>
          <w:color w:val="333333"/>
          <w:sz w:val="18"/>
          <w:szCs w:val="18"/>
        </w:rPr>
        <w:t>offeror</w:t>
      </w:r>
      <w:proofErr w:type="spellEnd"/>
      <w:r>
        <w:rPr>
          <w:rFonts w:ascii="Arial" w:hAnsi="Arial" w:cs="Arial"/>
          <w:color w:val="333333"/>
          <w:sz w:val="18"/>
          <w:szCs w:val="18"/>
        </w:rPr>
        <w:t xml:space="preserve"> who is awarded a contract by a public institution of higher education for any construction project that has a total cost of $5 million or more to disclose any contributions the </w:t>
      </w:r>
      <w:proofErr w:type="spellStart"/>
      <w:r>
        <w:rPr>
          <w:rFonts w:ascii="Arial" w:hAnsi="Arial" w:cs="Arial"/>
          <w:color w:val="333333"/>
          <w:sz w:val="18"/>
          <w:szCs w:val="18"/>
        </w:rPr>
        <w:t>offeror</w:t>
      </w:r>
      <w:proofErr w:type="spellEnd"/>
      <w:r>
        <w:rPr>
          <w:rFonts w:ascii="Arial" w:hAnsi="Arial" w:cs="Arial"/>
          <w:color w:val="333333"/>
          <w:sz w:val="18"/>
          <w:szCs w:val="18"/>
        </w:rPr>
        <w:t xml:space="preserve"> has made within the previous five-year period totaling $25,000 or more to the public institution of higher education or any private foundation that exists solely to support the public institution of higher education. The bill provides that no protest of an award shall lie for a claim that the selected </w:t>
      </w:r>
      <w:proofErr w:type="spellStart"/>
      <w:r>
        <w:rPr>
          <w:rFonts w:ascii="Arial" w:hAnsi="Arial" w:cs="Arial"/>
          <w:color w:val="333333"/>
          <w:sz w:val="18"/>
          <w:szCs w:val="18"/>
        </w:rPr>
        <w:t>offeror</w:t>
      </w:r>
      <w:proofErr w:type="spellEnd"/>
      <w:r>
        <w:rPr>
          <w:rFonts w:ascii="Arial" w:hAnsi="Arial" w:cs="Arial"/>
          <w:color w:val="333333"/>
          <w:sz w:val="18"/>
          <w:szCs w:val="18"/>
        </w:rPr>
        <w:t xml:space="preserve"> was awarded a contract solely based on such </w:t>
      </w:r>
      <w:proofErr w:type="spellStart"/>
      <w:r>
        <w:rPr>
          <w:rFonts w:ascii="Arial" w:hAnsi="Arial" w:cs="Arial"/>
          <w:color w:val="333333"/>
          <w:sz w:val="18"/>
          <w:szCs w:val="18"/>
        </w:rPr>
        <w:t>offeror's</w:t>
      </w:r>
      <w:proofErr w:type="spellEnd"/>
      <w:r>
        <w:rPr>
          <w:rFonts w:ascii="Arial" w:hAnsi="Arial" w:cs="Arial"/>
          <w:color w:val="333333"/>
          <w:sz w:val="18"/>
          <w:szCs w:val="18"/>
        </w:rPr>
        <w:t xml:space="preserve"> contribution to the public institution of higher education. The bill imposes a $500 civil penalty on any </w:t>
      </w:r>
      <w:proofErr w:type="spellStart"/>
      <w:r>
        <w:rPr>
          <w:rFonts w:ascii="Arial" w:hAnsi="Arial" w:cs="Arial"/>
          <w:color w:val="333333"/>
          <w:sz w:val="18"/>
          <w:szCs w:val="18"/>
        </w:rPr>
        <w:t>offeror</w:t>
      </w:r>
      <w:proofErr w:type="spellEnd"/>
      <w:r>
        <w:rPr>
          <w:rFonts w:ascii="Arial" w:hAnsi="Arial" w:cs="Arial"/>
          <w:color w:val="333333"/>
          <w:sz w:val="18"/>
          <w:szCs w:val="18"/>
        </w:rPr>
        <w:t xml:space="preserve"> that knowingly fails to submit the required disclosure. The provisions of the bill relating to such disclosure of gifts made by an </w:t>
      </w:r>
      <w:proofErr w:type="spellStart"/>
      <w:r>
        <w:rPr>
          <w:rFonts w:ascii="Arial" w:hAnsi="Arial" w:cs="Arial"/>
          <w:color w:val="333333"/>
          <w:sz w:val="18"/>
          <w:szCs w:val="18"/>
        </w:rPr>
        <w:t>offeror</w:t>
      </w:r>
      <w:proofErr w:type="spellEnd"/>
      <w:r>
        <w:rPr>
          <w:rFonts w:ascii="Arial" w:hAnsi="Arial" w:cs="Arial"/>
          <w:color w:val="333333"/>
          <w:sz w:val="18"/>
          <w:szCs w:val="18"/>
        </w:rPr>
        <w:t xml:space="preserve"> to a public institution of higher education or any private foundation that exists solely to support the public institution of higher education expire on June 30, 2027. This bill is identical to </w:t>
      </w:r>
      <w:hyperlink r:id="rId37" w:history="1">
        <w:r>
          <w:rPr>
            <w:rStyle w:val="Hyperlink"/>
            <w:rFonts w:ascii="Arial" w:hAnsi="Arial" w:cs="Arial"/>
            <w:b/>
            <w:bCs/>
            <w:color w:val="355184"/>
            <w:sz w:val="18"/>
            <w:szCs w:val="18"/>
            <w:u w:val="none"/>
          </w:rPr>
          <w:t>HB 19.</w:t>
        </w:r>
      </w:hyperlink>
    </w:p>
    <w:p w:rsidR="00605AE1" w:rsidRDefault="00605AE1" w:rsidP="00605AE1">
      <w:pPr>
        <w:pStyle w:val="Heading3"/>
        <w:pBdr>
          <w:top w:val="single" w:sz="6" w:space="1" w:color="BEB9A8"/>
        </w:pBdr>
        <w:shd w:val="clear" w:color="auto" w:fill="FFFFFF"/>
        <w:spacing w:before="0" w:beforeAutospacing="0" w:after="0" w:afterAutospacing="0"/>
        <w:rPr>
          <w:rFonts w:ascii="Arial" w:hAnsi="Arial" w:cs="Arial"/>
          <w:b w:val="0"/>
          <w:bCs w:val="0"/>
          <w:color w:val="8A1719"/>
          <w:spacing w:val="15"/>
        </w:rPr>
      </w:pPr>
      <w:r>
        <w:rPr>
          <w:rFonts w:ascii="Arial" w:hAnsi="Arial" w:cs="Arial"/>
          <w:b w:val="0"/>
          <w:bCs w:val="0"/>
          <w:color w:val="8A1719"/>
          <w:spacing w:val="15"/>
        </w:rPr>
        <w:lastRenderedPageBreak/>
        <w:t>SB 225 Virginia Public Procurement Act; architectural and professional engineering term contracting.</w:t>
      </w:r>
    </w:p>
    <w:p w:rsidR="00605AE1" w:rsidRDefault="00605AE1" w:rsidP="00605AE1">
      <w:pPr>
        <w:pStyle w:val="sectmarg"/>
        <w:shd w:val="clear" w:color="auto" w:fill="FFFFFF"/>
        <w:spacing w:before="75" w:beforeAutospacing="0" w:after="600" w:afterAutospacing="0" w:line="270" w:lineRule="atLeast"/>
        <w:rPr>
          <w:rFonts w:ascii="Arial" w:hAnsi="Arial" w:cs="Arial"/>
          <w:color w:val="333333"/>
          <w:sz w:val="18"/>
          <w:szCs w:val="18"/>
        </w:rPr>
      </w:pPr>
      <w:r>
        <w:rPr>
          <w:rFonts w:ascii="Arial" w:hAnsi="Arial" w:cs="Arial"/>
          <w:color w:val="333333"/>
          <w:sz w:val="18"/>
          <w:szCs w:val="18"/>
        </w:rPr>
        <w:t>Introduced by: </w:t>
      </w:r>
      <w:hyperlink r:id="rId38" w:history="1">
        <w:r>
          <w:rPr>
            <w:rStyle w:val="Hyperlink"/>
            <w:rFonts w:ascii="Arial" w:hAnsi="Arial" w:cs="Arial"/>
            <w:b/>
            <w:bCs/>
            <w:color w:val="355184"/>
            <w:sz w:val="18"/>
            <w:szCs w:val="18"/>
            <w:u w:val="none"/>
          </w:rPr>
          <w:t xml:space="preserve">Jeremy S. </w:t>
        </w:r>
        <w:proofErr w:type="spellStart"/>
        <w:r>
          <w:rPr>
            <w:rStyle w:val="Hyperlink"/>
            <w:rFonts w:ascii="Arial" w:hAnsi="Arial" w:cs="Arial"/>
            <w:b/>
            <w:bCs/>
            <w:color w:val="355184"/>
            <w:sz w:val="18"/>
            <w:szCs w:val="18"/>
            <w:u w:val="none"/>
          </w:rPr>
          <w:t>McPike</w:t>
        </w:r>
        <w:proofErr w:type="spellEnd"/>
      </w:hyperlink>
      <w:r>
        <w:rPr>
          <w:rFonts w:ascii="Arial" w:hAnsi="Arial" w:cs="Arial"/>
          <w:color w:val="333333"/>
          <w:sz w:val="18"/>
          <w:szCs w:val="18"/>
        </w:rPr>
        <w:t> | </w:t>
      </w:r>
      <w:hyperlink r:id="rId39" w:history="1">
        <w:r>
          <w:rPr>
            <w:rStyle w:val="Hyperlink"/>
            <w:rFonts w:ascii="Arial" w:hAnsi="Arial" w:cs="Arial"/>
            <w:b/>
            <w:bCs/>
            <w:color w:val="355184"/>
            <w:sz w:val="18"/>
            <w:szCs w:val="18"/>
            <w:u w:val="none"/>
          </w:rPr>
          <w:t>all patrons</w:t>
        </w:r>
      </w:hyperlink>
      <w:r>
        <w:rPr>
          <w:rFonts w:ascii="Arial" w:hAnsi="Arial" w:cs="Arial"/>
          <w:color w:val="333333"/>
          <w:sz w:val="18"/>
          <w:szCs w:val="18"/>
        </w:rPr>
        <w:t>    ...    </w:t>
      </w:r>
      <w:hyperlink r:id="rId40" w:history="1">
        <w:r>
          <w:rPr>
            <w:rStyle w:val="Hyperlink"/>
            <w:rFonts w:ascii="Arial" w:hAnsi="Arial" w:cs="Arial"/>
            <w:b/>
            <w:bCs/>
            <w:color w:val="355184"/>
            <w:sz w:val="18"/>
            <w:szCs w:val="18"/>
            <w:u w:val="none"/>
          </w:rPr>
          <w:t>notes</w:t>
        </w:r>
      </w:hyperlink>
      <w:r>
        <w:rPr>
          <w:rFonts w:ascii="Arial" w:hAnsi="Arial" w:cs="Arial"/>
          <w:color w:val="333333"/>
          <w:sz w:val="18"/>
          <w:szCs w:val="18"/>
        </w:rPr>
        <w:t> </w:t>
      </w:r>
      <w:r>
        <w:rPr>
          <w:rFonts w:ascii="Arial" w:hAnsi="Arial" w:cs="Arial"/>
          <w:b/>
          <w:bCs/>
          <w:color w:val="333333"/>
          <w:sz w:val="18"/>
          <w:szCs w:val="18"/>
        </w:rPr>
        <w:t>| </w:t>
      </w:r>
      <w:hyperlink r:id="rId41" w:history="1">
        <w:r>
          <w:rPr>
            <w:rStyle w:val="Hyperlink"/>
            <w:rFonts w:ascii="Arial" w:hAnsi="Arial" w:cs="Arial"/>
            <w:b/>
            <w:bCs/>
            <w:color w:val="355184"/>
            <w:sz w:val="18"/>
            <w:szCs w:val="18"/>
            <w:u w:val="none"/>
          </w:rPr>
          <w:t>add</w:t>
        </w:r>
      </w:hyperlink>
      <w:r>
        <w:rPr>
          <w:rFonts w:ascii="Arial" w:hAnsi="Arial" w:cs="Arial"/>
          <w:b/>
          <w:bCs/>
          <w:color w:val="333333"/>
          <w:sz w:val="18"/>
          <w:szCs w:val="18"/>
        </w:rPr>
        <w:t> to my profiles</w:t>
      </w:r>
    </w:p>
    <w:p w:rsidR="00605AE1" w:rsidRDefault="00605AE1" w:rsidP="00605AE1">
      <w:pPr>
        <w:pStyle w:val="Heading4"/>
        <w:shd w:val="clear" w:color="auto" w:fill="FFFFFF"/>
        <w:spacing w:before="0" w:beforeAutospacing="0" w:after="0" w:afterAutospacing="0"/>
        <w:rPr>
          <w:rFonts w:ascii="Arial" w:hAnsi="Arial" w:cs="Arial"/>
          <w:color w:val="8A1719"/>
          <w:spacing w:val="15"/>
          <w:sz w:val="18"/>
          <w:szCs w:val="18"/>
        </w:rPr>
      </w:pPr>
      <w:r>
        <w:rPr>
          <w:rFonts w:ascii="Arial" w:hAnsi="Arial" w:cs="Arial"/>
          <w:color w:val="8A1719"/>
          <w:spacing w:val="15"/>
          <w:sz w:val="18"/>
          <w:szCs w:val="18"/>
        </w:rPr>
        <w:t>SUMMARY AS PASSED: </w:t>
      </w:r>
      <w:hyperlink r:id="rId42" w:history="1">
        <w:r>
          <w:rPr>
            <w:rStyle w:val="Hyperlink"/>
            <w:rFonts w:ascii="Arial" w:hAnsi="Arial" w:cs="Arial"/>
            <w:color w:val="355184"/>
            <w:sz w:val="18"/>
            <w:szCs w:val="18"/>
            <w:u w:val="none"/>
          </w:rPr>
          <w:t>(all summaries)</w:t>
        </w:r>
      </w:hyperlink>
    </w:p>
    <w:p w:rsidR="00605AE1" w:rsidRDefault="00605AE1" w:rsidP="00605AE1">
      <w:pPr>
        <w:pStyle w:val="NormalWeb"/>
        <w:shd w:val="clear" w:color="auto" w:fill="FFFFFF"/>
        <w:spacing w:line="270" w:lineRule="atLeast"/>
        <w:rPr>
          <w:rFonts w:ascii="Arial" w:hAnsi="Arial" w:cs="Arial"/>
          <w:color w:val="333333"/>
          <w:sz w:val="18"/>
          <w:szCs w:val="18"/>
        </w:rPr>
      </w:pPr>
      <w:r>
        <w:rPr>
          <w:rFonts w:ascii="Arial" w:hAnsi="Arial" w:cs="Arial"/>
          <w:b/>
          <w:bCs/>
          <w:color w:val="333333"/>
          <w:sz w:val="18"/>
          <w:szCs w:val="18"/>
        </w:rPr>
        <w:t>Virginia Public Procurement Act; architectural and professional engineering term contracting; limitations.</w:t>
      </w:r>
      <w:r>
        <w:rPr>
          <w:rFonts w:ascii="Arial" w:hAnsi="Arial" w:cs="Arial"/>
          <w:color w:val="333333"/>
          <w:sz w:val="18"/>
          <w:szCs w:val="18"/>
        </w:rPr>
        <w:t> Provides that the sum of all projects performed in an architectural and professional engineering contract term shall not exceed $10 million, and the fee for any single project shall not exceed $2.5 million. The bill allows a contract for multiple architectural or professional engineering projects to be renewable for up to three additional terms at the option of the public body. Current law limits the sum of all projects performed in a one-year contract term to $750,000, with up to four additional one-year terms at the option of the public body, and limits the fee for any single project to $150,000, with specific exceptions to those limits, including a limit for total projects for rail projects of $5 million and for highway projects, $8 million. The bill also removes specific agency and locality exceptions to such current limits. The bill is identical to </w:t>
      </w:r>
      <w:hyperlink r:id="rId43" w:history="1">
        <w:r>
          <w:rPr>
            <w:rStyle w:val="Hyperlink"/>
            <w:rFonts w:ascii="Arial" w:hAnsi="Arial" w:cs="Arial"/>
            <w:b/>
            <w:bCs/>
            <w:color w:val="355184"/>
            <w:sz w:val="18"/>
            <w:szCs w:val="18"/>
            <w:u w:val="none"/>
          </w:rPr>
          <w:t>HB 429.</w:t>
        </w:r>
      </w:hyperlink>
    </w:p>
    <w:p w:rsidR="00605AE1" w:rsidRPr="00605AE1" w:rsidRDefault="00605AE1" w:rsidP="00605AE1">
      <w:pPr>
        <w:pBdr>
          <w:top w:val="single" w:sz="6" w:space="1" w:color="BEB9A8"/>
        </w:pBdr>
        <w:shd w:val="clear" w:color="auto" w:fill="FFFFFF"/>
        <w:spacing w:after="0" w:line="240" w:lineRule="auto"/>
        <w:outlineLvl w:val="2"/>
        <w:rPr>
          <w:rFonts w:ascii="Arial" w:eastAsia="Times New Roman" w:hAnsi="Arial" w:cs="Arial"/>
          <w:color w:val="8A1719"/>
          <w:spacing w:val="15"/>
          <w:sz w:val="27"/>
          <w:szCs w:val="27"/>
        </w:rPr>
      </w:pPr>
      <w:r w:rsidRPr="00605AE1">
        <w:rPr>
          <w:rFonts w:ascii="Arial" w:eastAsia="Times New Roman" w:hAnsi="Arial" w:cs="Arial"/>
          <w:color w:val="8A1719"/>
          <w:spacing w:val="15"/>
          <w:sz w:val="27"/>
          <w:szCs w:val="27"/>
        </w:rPr>
        <w:t>SB 258 Virginia Public Procurement Act; bid bonds, construction contracts.</w:t>
      </w:r>
    </w:p>
    <w:p w:rsidR="00605AE1" w:rsidRPr="00605AE1" w:rsidRDefault="00605AE1" w:rsidP="00605AE1">
      <w:pPr>
        <w:shd w:val="clear" w:color="auto" w:fill="FFFFFF"/>
        <w:spacing w:before="75" w:after="600" w:line="270" w:lineRule="atLeast"/>
        <w:rPr>
          <w:rFonts w:ascii="Arial" w:eastAsia="Times New Roman" w:hAnsi="Arial" w:cs="Arial"/>
          <w:color w:val="333333"/>
          <w:sz w:val="18"/>
          <w:szCs w:val="18"/>
        </w:rPr>
      </w:pPr>
      <w:r w:rsidRPr="00605AE1">
        <w:rPr>
          <w:rFonts w:ascii="Arial" w:eastAsia="Times New Roman" w:hAnsi="Arial" w:cs="Arial"/>
          <w:color w:val="333333"/>
          <w:sz w:val="18"/>
          <w:szCs w:val="18"/>
        </w:rPr>
        <w:t>Introduced by: </w:t>
      </w:r>
      <w:hyperlink r:id="rId44" w:history="1">
        <w:r w:rsidRPr="00605AE1">
          <w:rPr>
            <w:rFonts w:ascii="Arial" w:eastAsia="Times New Roman" w:hAnsi="Arial" w:cs="Arial"/>
            <w:b/>
            <w:bCs/>
            <w:color w:val="355184"/>
            <w:sz w:val="18"/>
            <w:szCs w:val="18"/>
          </w:rPr>
          <w:t>John J. Bell</w:t>
        </w:r>
      </w:hyperlink>
      <w:r w:rsidRPr="00605AE1">
        <w:rPr>
          <w:rFonts w:ascii="Arial" w:eastAsia="Times New Roman" w:hAnsi="Arial" w:cs="Arial"/>
          <w:color w:val="333333"/>
          <w:sz w:val="18"/>
          <w:szCs w:val="18"/>
        </w:rPr>
        <w:t> | </w:t>
      </w:r>
      <w:hyperlink r:id="rId45" w:history="1">
        <w:r w:rsidRPr="00605AE1">
          <w:rPr>
            <w:rFonts w:ascii="Arial" w:eastAsia="Times New Roman" w:hAnsi="Arial" w:cs="Arial"/>
            <w:b/>
            <w:bCs/>
            <w:color w:val="355184"/>
            <w:sz w:val="18"/>
            <w:szCs w:val="18"/>
          </w:rPr>
          <w:t>all patrons</w:t>
        </w:r>
      </w:hyperlink>
      <w:r w:rsidRPr="00605AE1">
        <w:rPr>
          <w:rFonts w:ascii="Arial" w:eastAsia="Times New Roman" w:hAnsi="Arial" w:cs="Arial"/>
          <w:color w:val="333333"/>
          <w:sz w:val="18"/>
          <w:szCs w:val="18"/>
        </w:rPr>
        <w:t>    ...    </w:t>
      </w:r>
      <w:hyperlink r:id="rId46" w:history="1">
        <w:r w:rsidRPr="00605AE1">
          <w:rPr>
            <w:rFonts w:ascii="Arial" w:eastAsia="Times New Roman" w:hAnsi="Arial" w:cs="Arial"/>
            <w:b/>
            <w:bCs/>
            <w:color w:val="355184"/>
            <w:sz w:val="18"/>
            <w:szCs w:val="18"/>
          </w:rPr>
          <w:t>notes</w:t>
        </w:r>
      </w:hyperlink>
      <w:r w:rsidRPr="00605AE1">
        <w:rPr>
          <w:rFonts w:ascii="Arial" w:eastAsia="Times New Roman" w:hAnsi="Arial" w:cs="Arial"/>
          <w:color w:val="333333"/>
          <w:sz w:val="18"/>
          <w:szCs w:val="18"/>
        </w:rPr>
        <w:t> </w:t>
      </w:r>
      <w:r w:rsidRPr="00605AE1">
        <w:rPr>
          <w:rFonts w:ascii="Arial" w:eastAsia="Times New Roman" w:hAnsi="Arial" w:cs="Arial"/>
          <w:b/>
          <w:bCs/>
          <w:color w:val="333333"/>
          <w:sz w:val="18"/>
          <w:szCs w:val="18"/>
        </w:rPr>
        <w:t>| </w:t>
      </w:r>
      <w:hyperlink r:id="rId47" w:history="1">
        <w:r w:rsidRPr="00605AE1">
          <w:rPr>
            <w:rFonts w:ascii="Arial" w:eastAsia="Times New Roman" w:hAnsi="Arial" w:cs="Arial"/>
            <w:b/>
            <w:bCs/>
            <w:color w:val="355184"/>
            <w:sz w:val="18"/>
            <w:szCs w:val="18"/>
          </w:rPr>
          <w:t>add</w:t>
        </w:r>
      </w:hyperlink>
      <w:r w:rsidRPr="00605AE1">
        <w:rPr>
          <w:rFonts w:ascii="Arial" w:eastAsia="Times New Roman" w:hAnsi="Arial" w:cs="Arial"/>
          <w:b/>
          <w:bCs/>
          <w:color w:val="333333"/>
          <w:sz w:val="18"/>
          <w:szCs w:val="18"/>
        </w:rPr>
        <w:t> to my profiles</w:t>
      </w:r>
    </w:p>
    <w:p w:rsidR="00605AE1" w:rsidRPr="00605AE1" w:rsidRDefault="00605AE1" w:rsidP="00605AE1">
      <w:pPr>
        <w:shd w:val="clear" w:color="auto" w:fill="FFFFFF"/>
        <w:spacing w:after="0" w:line="240" w:lineRule="auto"/>
        <w:outlineLvl w:val="3"/>
        <w:rPr>
          <w:rFonts w:ascii="Arial" w:eastAsia="Times New Roman" w:hAnsi="Arial" w:cs="Arial"/>
          <w:b/>
          <w:bCs/>
          <w:color w:val="8A1719"/>
          <w:spacing w:val="15"/>
          <w:sz w:val="18"/>
          <w:szCs w:val="18"/>
        </w:rPr>
      </w:pPr>
      <w:r w:rsidRPr="00605AE1">
        <w:rPr>
          <w:rFonts w:ascii="Arial" w:eastAsia="Times New Roman" w:hAnsi="Arial" w:cs="Arial"/>
          <w:b/>
          <w:bCs/>
          <w:color w:val="8A1719"/>
          <w:spacing w:val="15"/>
          <w:sz w:val="18"/>
          <w:szCs w:val="18"/>
        </w:rPr>
        <w:t>SUMMARY AS PASSED: </w:t>
      </w:r>
      <w:hyperlink r:id="rId48" w:history="1">
        <w:r w:rsidRPr="00605AE1">
          <w:rPr>
            <w:rFonts w:ascii="Arial" w:eastAsia="Times New Roman" w:hAnsi="Arial" w:cs="Arial"/>
            <w:b/>
            <w:bCs/>
            <w:color w:val="355184"/>
            <w:sz w:val="18"/>
            <w:szCs w:val="18"/>
          </w:rPr>
          <w:t>(all summaries)</w:t>
        </w:r>
      </w:hyperlink>
    </w:p>
    <w:p w:rsidR="00605AE1" w:rsidRDefault="00605AE1" w:rsidP="00605AE1">
      <w:pPr>
        <w:shd w:val="clear" w:color="auto" w:fill="FFFFFF"/>
        <w:spacing w:before="100" w:beforeAutospacing="1" w:after="100" w:afterAutospacing="1" w:line="270" w:lineRule="atLeast"/>
        <w:rPr>
          <w:rFonts w:ascii="Arial" w:eastAsia="Times New Roman" w:hAnsi="Arial" w:cs="Arial"/>
          <w:color w:val="333333"/>
          <w:sz w:val="18"/>
          <w:szCs w:val="18"/>
        </w:rPr>
      </w:pPr>
      <w:r w:rsidRPr="00605AE1">
        <w:rPr>
          <w:rFonts w:ascii="Arial" w:eastAsia="Times New Roman" w:hAnsi="Arial" w:cs="Arial"/>
          <w:b/>
          <w:bCs/>
          <w:color w:val="333333"/>
          <w:sz w:val="18"/>
          <w:szCs w:val="18"/>
        </w:rPr>
        <w:t>Virginia Public Procurement Act; bid bonds; certain transportation-related contracts.</w:t>
      </w:r>
      <w:r w:rsidRPr="00605AE1">
        <w:rPr>
          <w:rFonts w:ascii="Arial" w:eastAsia="Times New Roman" w:hAnsi="Arial" w:cs="Arial"/>
          <w:color w:val="333333"/>
          <w:sz w:val="18"/>
          <w:szCs w:val="18"/>
        </w:rPr>
        <w:t> Provides that, except in cases of emergency, all bids and proposals for certain transportation-related contracts in excess of $350,000 and partially or wholly funded by the Commonwealth shall be accompanied by a bid bond. Current law sets the bid or proposal amount for such contracts at $250,000.</w:t>
      </w:r>
    </w:p>
    <w:p w:rsidR="00605AE1" w:rsidRDefault="00605AE1" w:rsidP="00605AE1">
      <w:pPr>
        <w:pStyle w:val="Heading3"/>
        <w:pBdr>
          <w:top w:val="single" w:sz="6" w:space="1" w:color="BEB9A8"/>
        </w:pBdr>
        <w:shd w:val="clear" w:color="auto" w:fill="FFFFFF"/>
        <w:spacing w:before="0" w:beforeAutospacing="0" w:after="0" w:afterAutospacing="0"/>
        <w:rPr>
          <w:rFonts w:ascii="Arial" w:hAnsi="Arial" w:cs="Arial"/>
          <w:b w:val="0"/>
          <w:bCs w:val="0"/>
          <w:color w:val="8A1719"/>
          <w:spacing w:val="15"/>
        </w:rPr>
      </w:pPr>
      <w:r>
        <w:rPr>
          <w:rFonts w:ascii="Arial" w:hAnsi="Arial" w:cs="Arial"/>
          <w:b w:val="0"/>
          <w:bCs w:val="0"/>
          <w:color w:val="8A1719"/>
          <w:spacing w:val="15"/>
        </w:rPr>
        <w:t>SB 259 Virginia Public Procurement Act; performance and payment bonds.</w:t>
      </w:r>
    </w:p>
    <w:p w:rsidR="00605AE1" w:rsidRDefault="00605AE1" w:rsidP="00605AE1">
      <w:pPr>
        <w:pStyle w:val="sectmarg"/>
        <w:shd w:val="clear" w:color="auto" w:fill="FFFFFF"/>
        <w:spacing w:before="75" w:beforeAutospacing="0" w:after="600" w:afterAutospacing="0" w:line="270" w:lineRule="atLeast"/>
        <w:rPr>
          <w:rFonts w:ascii="Arial" w:hAnsi="Arial" w:cs="Arial"/>
          <w:color w:val="333333"/>
          <w:sz w:val="18"/>
          <w:szCs w:val="18"/>
        </w:rPr>
      </w:pPr>
      <w:r>
        <w:rPr>
          <w:rFonts w:ascii="Arial" w:hAnsi="Arial" w:cs="Arial"/>
          <w:color w:val="333333"/>
          <w:sz w:val="18"/>
          <w:szCs w:val="18"/>
        </w:rPr>
        <w:t>Introduced by: </w:t>
      </w:r>
      <w:hyperlink r:id="rId49" w:history="1">
        <w:r>
          <w:rPr>
            <w:rStyle w:val="Hyperlink"/>
            <w:rFonts w:ascii="Arial" w:hAnsi="Arial" w:cs="Arial"/>
            <w:b/>
            <w:bCs/>
            <w:color w:val="355184"/>
            <w:sz w:val="18"/>
            <w:szCs w:val="18"/>
            <w:u w:val="none"/>
          </w:rPr>
          <w:t>John J. Bell</w:t>
        </w:r>
      </w:hyperlink>
      <w:r>
        <w:rPr>
          <w:rFonts w:ascii="Arial" w:hAnsi="Arial" w:cs="Arial"/>
          <w:color w:val="333333"/>
          <w:sz w:val="18"/>
          <w:szCs w:val="18"/>
        </w:rPr>
        <w:t> | </w:t>
      </w:r>
      <w:hyperlink r:id="rId50" w:history="1">
        <w:r>
          <w:rPr>
            <w:rStyle w:val="Hyperlink"/>
            <w:rFonts w:ascii="Arial" w:hAnsi="Arial" w:cs="Arial"/>
            <w:b/>
            <w:bCs/>
            <w:color w:val="355184"/>
            <w:sz w:val="18"/>
            <w:szCs w:val="18"/>
            <w:u w:val="none"/>
          </w:rPr>
          <w:t>all patrons</w:t>
        </w:r>
      </w:hyperlink>
      <w:r>
        <w:rPr>
          <w:rFonts w:ascii="Arial" w:hAnsi="Arial" w:cs="Arial"/>
          <w:color w:val="333333"/>
          <w:sz w:val="18"/>
          <w:szCs w:val="18"/>
        </w:rPr>
        <w:t>    ...    </w:t>
      </w:r>
      <w:hyperlink r:id="rId51" w:history="1">
        <w:r>
          <w:rPr>
            <w:rStyle w:val="Hyperlink"/>
            <w:rFonts w:ascii="Arial" w:hAnsi="Arial" w:cs="Arial"/>
            <w:b/>
            <w:bCs/>
            <w:color w:val="355184"/>
            <w:sz w:val="18"/>
            <w:szCs w:val="18"/>
            <w:u w:val="none"/>
          </w:rPr>
          <w:t>notes</w:t>
        </w:r>
      </w:hyperlink>
      <w:r>
        <w:rPr>
          <w:rFonts w:ascii="Arial" w:hAnsi="Arial" w:cs="Arial"/>
          <w:color w:val="333333"/>
          <w:sz w:val="18"/>
          <w:szCs w:val="18"/>
        </w:rPr>
        <w:t> </w:t>
      </w:r>
      <w:r>
        <w:rPr>
          <w:rFonts w:ascii="Arial" w:hAnsi="Arial" w:cs="Arial"/>
          <w:b/>
          <w:bCs/>
          <w:color w:val="333333"/>
          <w:sz w:val="18"/>
          <w:szCs w:val="18"/>
        </w:rPr>
        <w:t>| </w:t>
      </w:r>
      <w:hyperlink r:id="rId52" w:history="1">
        <w:r>
          <w:rPr>
            <w:rStyle w:val="Hyperlink"/>
            <w:rFonts w:ascii="Arial" w:hAnsi="Arial" w:cs="Arial"/>
            <w:b/>
            <w:bCs/>
            <w:color w:val="355184"/>
            <w:sz w:val="18"/>
            <w:szCs w:val="18"/>
            <w:u w:val="none"/>
          </w:rPr>
          <w:t>add</w:t>
        </w:r>
      </w:hyperlink>
      <w:r>
        <w:rPr>
          <w:rFonts w:ascii="Arial" w:hAnsi="Arial" w:cs="Arial"/>
          <w:b/>
          <w:bCs/>
          <w:color w:val="333333"/>
          <w:sz w:val="18"/>
          <w:szCs w:val="18"/>
        </w:rPr>
        <w:t> to my profiles</w:t>
      </w:r>
    </w:p>
    <w:p w:rsidR="00605AE1" w:rsidRDefault="00605AE1" w:rsidP="00605AE1">
      <w:pPr>
        <w:pStyle w:val="Heading4"/>
        <w:shd w:val="clear" w:color="auto" w:fill="FFFFFF"/>
        <w:spacing w:before="0" w:beforeAutospacing="0" w:after="0" w:afterAutospacing="0"/>
        <w:rPr>
          <w:rFonts w:ascii="Arial" w:hAnsi="Arial" w:cs="Arial"/>
          <w:color w:val="8A1719"/>
          <w:spacing w:val="15"/>
          <w:sz w:val="18"/>
          <w:szCs w:val="18"/>
        </w:rPr>
      </w:pPr>
      <w:r>
        <w:rPr>
          <w:rFonts w:ascii="Arial" w:hAnsi="Arial" w:cs="Arial"/>
          <w:color w:val="8A1719"/>
          <w:spacing w:val="15"/>
          <w:sz w:val="18"/>
          <w:szCs w:val="18"/>
        </w:rPr>
        <w:t>SUMMARY AS PASSED: </w:t>
      </w:r>
      <w:hyperlink r:id="rId53" w:history="1">
        <w:r>
          <w:rPr>
            <w:rStyle w:val="Hyperlink"/>
            <w:rFonts w:ascii="Arial" w:hAnsi="Arial" w:cs="Arial"/>
            <w:color w:val="355184"/>
            <w:sz w:val="18"/>
            <w:szCs w:val="18"/>
            <w:u w:val="none"/>
          </w:rPr>
          <w:t>(all summaries)</w:t>
        </w:r>
      </w:hyperlink>
    </w:p>
    <w:p w:rsidR="00605AE1" w:rsidRDefault="00605AE1" w:rsidP="00605AE1">
      <w:pPr>
        <w:pStyle w:val="NormalWeb"/>
        <w:shd w:val="clear" w:color="auto" w:fill="FFFFFF"/>
        <w:spacing w:line="270" w:lineRule="atLeast"/>
        <w:rPr>
          <w:rFonts w:ascii="Arial" w:hAnsi="Arial" w:cs="Arial"/>
          <w:color w:val="333333"/>
          <w:sz w:val="18"/>
          <w:szCs w:val="18"/>
        </w:rPr>
      </w:pPr>
      <w:r>
        <w:rPr>
          <w:rFonts w:ascii="Arial" w:hAnsi="Arial" w:cs="Arial"/>
          <w:b/>
          <w:bCs/>
          <w:color w:val="333333"/>
          <w:sz w:val="18"/>
          <w:szCs w:val="18"/>
        </w:rPr>
        <w:t>Virginia Public Procurement Act; performance and payment bonds.</w:t>
      </w:r>
      <w:r>
        <w:rPr>
          <w:rFonts w:ascii="Arial" w:hAnsi="Arial" w:cs="Arial"/>
          <w:color w:val="333333"/>
          <w:sz w:val="18"/>
          <w:szCs w:val="18"/>
        </w:rPr>
        <w:t xml:space="preserve"> Requires a performance bond and payment bond to be furnished by the contractor for all </w:t>
      </w:r>
      <w:proofErr w:type="spellStart"/>
      <w:r>
        <w:rPr>
          <w:rFonts w:ascii="Arial" w:hAnsi="Arial" w:cs="Arial"/>
          <w:color w:val="333333"/>
          <w:sz w:val="18"/>
          <w:szCs w:val="18"/>
        </w:rPr>
        <w:t>nontransportation</w:t>
      </w:r>
      <w:proofErr w:type="spellEnd"/>
      <w:r>
        <w:rPr>
          <w:rFonts w:ascii="Arial" w:hAnsi="Arial" w:cs="Arial"/>
          <w:color w:val="333333"/>
          <w:sz w:val="18"/>
          <w:szCs w:val="18"/>
        </w:rPr>
        <w:t>-related public construction contracts that exceed $500,000 and all transportation-related projects that exceed $350,000 and are partially or wholly funded by the Commonwealth. Current law only requires these bonds for certain types of contracts.</w:t>
      </w:r>
    </w:p>
    <w:p w:rsidR="00145646" w:rsidRDefault="00145646" w:rsidP="00605AE1">
      <w:pPr>
        <w:pStyle w:val="NormalWeb"/>
        <w:shd w:val="clear" w:color="auto" w:fill="FFFFFF"/>
        <w:spacing w:line="270" w:lineRule="atLeast"/>
        <w:rPr>
          <w:rFonts w:ascii="Arial" w:hAnsi="Arial" w:cs="Arial"/>
          <w:color w:val="333333"/>
          <w:sz w:val="18"/>
          <w:szCs w:val="18"/>
        </w:rPr>
      </w:pPr>
    </w:p>
    <w:p w:rsidR="00145646" w:rsidRDefault="00145646" w:rsidP="00605AE1">
      <w:pPr>
        <w:pStyle w:val="NormalWeb"/>
        <w:shd w:val="clear" w:color="auto" w:fill="FFFFFF"/>
        <w:spacing w:line="270" w:lineRule="atLeast"/>
        <w:rPr>
          <w:rFonts w:ascii="Arial" w:hAnsi="Arial" w:cs="Arial"/>
          <w:color w:val="333333"/>
          <w:sz w:val="18"/>
          <w:szCs w:val="18"/>
        </w:rPr>
      </w:pPr>
      <w:bookmarkStart w:id="0" w:name="_GoBack"/>
      <w:bookmarkEnd w:id="0"/>
    </w:p>
    <w:p w:rsidR="00605AE1" w:rsidRPr="00605AE1" w:rsidRDefault="00605AE1" w:rsidP="00605AE1">
      <w:pPr>
        <w:pBdr>
          <w:top w:val="single" w:sz="6" w:space="1" w:color="BEB9A8"/>
        </w:pBdr>
        <w:shd w:val="clear" w:color="auto" w:fill="FFFFFF"/>
        <w:spacing w:after="0" w:line="240" w:lineRule="auto"/>
        <w:outlineLvl w:val="2"/>
        <w:rPr>
          <w:rFonts w:ascii="Arial" w:eastAsia="Times New Roman" w:hAnsi="Arial" w:cs="Arial"/>
          <w:color w:val="8A1719"/>
          <w:spacing w:val="15"/>
          <w:sz w:val="27"/>
          <w:szCs w:val="27"/>
        </w:rPr>
      </w:pPr>
      <w:r w:rsidRPr="00605AE1">
        <w:rPr>
          <w:rFonts w:ascii="Arial" w:eastAsia="Times New Roman" w:hAnsi="Arial" w:cs="Arial"/>
          <w:color w:val="8A1719"/>
          <w:spacing w:val="15"/>
          <w:sz w:val="27"/>
          <w:szCs w:val="27"/>
        </w:rPr>
        <w:lastRenderedPageBreak/>
        <w:t>SB 416 Virginia Public Procurement Act; purchase of personal protective equipment.</w:t>
      </w:r>
    </w:p>
    <w:p w:rsidR="00605AE1" w:rsidRPr="00605AE1" w:rsidRDefault="00605AE1" w:rsidP="00605AE1">
      <w:pPr>
        <w:shd w:val="clear" w:color="auto" w:fill="FFFFFF"/>
        <w:spacing w:before="75" w:after="600" w:line="270" w:lineRule="atLeast"/>
        <w:rPr>
          <w:rFonts w:ascii="Arial" w:eastAsia="Times New Roman" w:hAnsi="Arial" w:cs="Arial"/>
          <w:color w:val="333333"/>
          <w:sz w:val="18"/>
          <w:szCs w:val="18"/>
        </w:rPr>
      </w:pPr>
      <w:r w:rsidRPr="00605AE1">
        <w:rPr>
          <w:rFonts w:ascii="Arial" w:eastAsia="Times New Roman" w:hAnsi="Arial" w:cs="Arial"/>
          <w:color w:val="333333"/>
          <w:sz w:val="18"/>
          <w:szCs w:val="18"/>
        </w:rPr>
        <w:t>Introduced by: </w:t>
      </w:r>
      <w:hyperlink r:id="rId54" w:history="1">
        <w:r w:rsidRPr="00605AE1">
          <w:rPr>
            <w:rFonts w:ascii="Arial" w:eastAsia="Times New Roman" w:hAnsi="Arial" w:cs="Arial"/>
            <w:b/>
            <w:bCs/>
            <w:color w:val="355184"/>
            <w:sz w:val="18"/>
            <w:szCs w:val="18"/>
          </w:rPr>
          <w:t xml:space="preserve">Bill </w:t>
        </w:r>
        <w:proofErr w:type="spellStart"/>
        <w:r w:rsidRPr="00605AE1">
          <w:rPr>
            <w:rFonts w:ascii="Arial" w:eastAsia="Times New Roman" w:hAnsi="Arial" w:cs="Arial"/>
            <w:b/>
            <w:bCs/>
            <w:color w:val="355184"/>
            <w:sz w:val="18"/>
            <w:szCs w:val="18"/>
          </w:rPr>
          <w:t>DeSteph</w:t>
        </w:r>
        <w:proofErr w:type="spellEnd"/>
      </w:hyperlink>
      <w:r w:rsidRPr="00605AE1">
        <w:rPr>
          <w:rFonts w:ascii="Arial" w:eastAsia="Times New Roman" w:hAnsi="Arial" w:cs="Arial"/>
          <w:color w:val="333333"/>
          <w:sz w:val="18"/>
          <w:szCs w:val="18"/>
        </w:rPr>
        <w:t> | </w:t>
      </w:r>
      <w:hyperlink r:id="rId55" w:history="1">
        <w:r w:rsidRPr="00605AE1">
          <w:rPr>
            <w:rFonts w:ascii="Arial" w:eastAsia="Times New Roman" w:hAnsi="Arial" w:cs="Arial"/>
            <w:b/>
            <w:bCs/>
            <w:color w:val="355184"/>
            <w:sz w:val="18"/>
            <w:szCs w:val="18"/>
          </w:rPr>
          <w:t>all patrons</w:t>
        </w:r>
      </w:hyperlink>
      <w:r w:rsidRPr="00605AE1">
        <w:rPr>
          <w:rFonts w:ascii="Arial" w:eastAsia="Times New Roman" w:hAnsi="Arial" w:cs="Arial"/>
          <w:color w:val="333333"/>
          <w:sz w:val="18"/>
          <w:szCs w:val="18"/>
        </w:rPr>
        <w:t>    ...    </w:t>
      </w:r>
      <w:hyperlink r:id="rId56" w:history="1">
        <w:r w:rsidRPr="00605AE1">
          <w:rPr>
            <w:rFonts w:ascii="Arial" w:eastAsia="Times New Roman" w:hAnsi="Arial" w:cs="Arial"/>
            <w:b/>
            <w:bCs/>
            <w:color w:val="355184"/>
            <w:sz w:val="18"/>
            <w:szCs w:val="18"/>
          </w:rPr>
          <w:t>notes</w:t>
        </w:r>
      </w:hyperlink>
      <w:r w:rsidRPr="00605AE1">
        <w:rPr>
          <w:rFonts w:ascii="Arial" w:eastAsia="Times New Roman" w:hAnsi="Arial" w:cs="Arial"/>
          <w:color w:val="333333"/>
          <w:sz w:val="18"/>
          <w:szCs w:val="18"/>
        </w:rPr>
        <w:t> </w:t>
      </w:r>
      <w:r w:rsidRPr="00605AE1">
        <w:rPr>
          <w:rFonts w:ascii="Arial" w:eastAsia="Times New Roman" w:hAnsi="Arial" w:cs="Arial"/>
          <w:b/>
          <w:bCs/>
          <w:color w:val="333333"/>
          <w:sz w:val="18"/>
          <w:szCs w:val="18"/>
        </w:rPr>
        <w:t>| </w:t>
      </w:r>
      <w:hyperlink r:id="rId57" w:history="1">
        <w:r w:rsidRPr="00605AE1">
          <w:rPr>
            <w:rFonts w:ascii="Arial" w:eastAsia="Times New Roman" w:hAnsi="Arial" w:cs="Arial"/>
            <w:b/>
            <w:bCs/>
            <w:color w:val="355184"/>
            <w:sz w:val="18"/>
            <w:szCs w:val="18"/>
          </w:rPr>
          <w:t>add</w:t>
        </w:r>
      </w:hyperlink>
      <w:r w:rsidRPr="00605AE1">
        <w:rPr>
          <w:rFonts w:ascii="Arial" w:eastAsia="Times New Roman" w:hAnsi="Arial" w:cs="Arial"/>
          <w:b/>
          <w:bCs/>
          <w:color w:val="333333"/>
          <w:sz w:val="18"/>
          <w:szCs w:val="18"/>
        </w:rPr>
        <w:t> to my profiles</w:t>
      </w:r>
    </w:p>
    <w:p w:rsidR="00605AE1" w:rsidRPr="00605AE1" w:rsidRDefault="00605AE1" w:rsidP="00605AE1">
      <w:pPr>
        <w:shd w:val="clear" w:color="auto" w:fill="FFFFFF"/>
        <w:spacing w:after="0" w:line="240" w:lineRule="auto"/>
        <w:outlineLvl w:val="3"/>
        <w:rPr>
          <w:rFonts w:ascii="Arial" w:eastAsia="Times New Roman" w:hAnsi="Arial" w:cs="Arial"/>
          <w:b/>
          <w:bCs/>
          <w:color w:val="8A1719"/>
          <w:spacing w:val="15"/>
          <w:sz w:val="18"/>
          <w:szCs w:val="18"/>
        </w:rPr>
      </w:pPr>
      <w:r w:rsidRPr="00605AE1">
        <w:rPr>
          <w:rFonts w:ascii="Arial" w:eastAsia="Times New Roman" w:hAnsi="Arial" w:cs="Arial"/>
          <w:b/>
          <w:bCs/>
          <w:color w:val="8A1719"/>
          <w:spacing w:val="15"/>
          <w:sz w:val="18"/>
          <w:szCs w:val="18"/>
        </w:rPr>
        <w:t>SUMMARY AS PASSED: </w:t>
      </w:r>
      <w:hyperlink r:id="rId58" w:history="1">
        <w:r w:rsidRPr="00605AE1">
          <w:rPr>
            <w:rFonts w:ascii="Arial" w:eastAsia="Times New Roman" w:hAnsi="Arial" w:cs="Arial"/>
            <w:b/>
            <w:bCs/>
            <w:color w:val="355184"/>
            <w:sz w:val="18"/>
            <w:szCs w:val="18"/>
          </w:rPr>
          <w:t>(all summaries)</w:t>
        </w:r>
      </w:hyperlink>
    </w:p>
    <w:p w:rsidR="00605AE1" w:rsidRPr="00605AE1" w:rsidRDefault="00605AE1" w:rsidP="00605AE1">
      <w:pPr>
        <w:shd w:val="clear" w:color="auto" w:fill="FFFFFF"/>
        <w:spacing w:before="100" w:beforeAutospacing="1" w:after="100" w:afterAutospacing="1" w:line="270" w:lineRule="atLeast"/>
        <w:rPr>
          <w:rFonts w:ascii="Arial" w:eastAsia="Times New Roman" w:hAnsi="Arial" w:cs="Arial"/>
          <w:color w:val="333333"/>
          <w:sz w:val="18"/>
          <w:szCs w:val="18"/>
        </w:rPr>
      </w:pPr>
      <w:r w:rsidRPr="00605AE1">
        <w:rPr>
          <w:rFonts w:ascii="Arial" w:eastAsia="Times New Roman" w:hAnsi="Arial" w:cs="Arial"/>
          <w:b/>
          <w:bCs/>
          <w:color w:val="333333"/>
          <w:sz w:val="18"/>
          <w:szCs w:val="18"/>
        </w:rPr>
        <w:t>Virginia Public Procurement Act; purchase of personal protective equipment.</w:t>
      </w:r>
      <w:r w:rsidRPr="00605AE1">
        <w:rPr>
          <w:rFonts w:ascii="Arial" w:eastAsia="Times New Roman" w:hAnsi="Arial" w:cs="Arial"/>
          <w:color w:val="333333"/>
          <w:sz w:val="18"/>
          <w:szCs w:val="18"/>
        </w:rPr>
        <w:t> Requires a state agency, whenever purchasing personal protective equipment (PPE) for public use, to ensure such PPE comply with all applicable federal and international certifications. The bill provides that if a state agency receives three or more bids (</w:t>
      </w:r>
      <w:proofErr w:type="spellStart"/>
      <w:r w:rsidRPr="00605AE1">
        <w:rPr>
          <w:rFonts w:ascii="Arial" w:eastAsia="Times New Roman" w:hAnsi="Arial" w:cs="Arial"/>
          <w:color w:val="333333"/>
          <w:sz w:val="18"/>
          <w:szCs w:val="18"/>
        </w:rPr>
        <w:t>i</w:t>
      </w:r>
      <w:proofErr w:type="spellEnd"/>
      <w:r w:rsidRPr="00605AE1">
        <w:rPr>
          <w:rFonts w:ascii="Arial" w:eastAsia="Times New Roman" w:hAnsi="Arial" w:cs="Arial"/>
          <w:color w:val="333333"/>
          <w:sz w:val="18"/>
          <w:szCs w:val="18"/>
        </w:rPr>
        <w:t>) from a Virginia-based company or manufacturer or a manufacturer that uses materials or components made in Virginia or the United States or (ii) from a United States-based manufacturer that uses materials or components made in the United States, the agency may only select among those bids. The bill also provides that if a state agency is unable to purchase PPE from such company or manufacturer, it may purchase from another company or manufacturer, pending the results of independent laboratory testing of the PPE. The bill directs the Secretary of Commerce and Trade to establish a work group to make recommendations to the General Assembly regarding products other than PPE that may be necessary if a state of emergency is declared in Virginia and that state agencies should purchase with the same requirements and to report the recommendations of the work group to the Chairs of the House Committee on General Laws and the Senate Committee on General Laws and Technology by September 1, 2022.</w:t>
      </w:r>
    </w:p>
    <w:sectPr w:rsidR="00605AE1" w:rsidRPr="00605AE1">
      <w:headerReference w:type="defaul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646" w:rsidRDefault="00145646" w:rsidP="00145646">
      <w:pPr>
        <w:spacing w:after="0" w:line="240" w:lineRule="auto"/>
      </w:pPr>
      <w:r>
        <w:separator/>
      </w:r>
    </w:p>
  </w:endnote>
  <w:endnote w:type="continuationSeparator" w:id="0">
    <w:p w:rsidR="00145646" w:rsidRDefault="00145646" w:rsidP="00145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646" w:rsidRDefault="00145646" w:rsidP="00145646">
      <w:pPr>
        <w:spacing w:after="0" w:line="240" w:lineRule="auto"/>
      </w:pPr>
      <w:r>
        <w:separator/>
      </w:r>
    </w:p>
  </w:footnote>
  <w:footnote w:type="continuationSeparator" w:id="0">
    <w:p w:rsidR="00145646" w:rsidRDefault="00145646" w:rsidP="00145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646" w:rsidRPr="00145646" w:rsidRDefault="00145646" w:rsidP="00145646">
    <w:pPr>
      <w:pStyle w:val="Header"/>
      <w:jc w:val="center"/>
      <w:rPr>
        <w:b/>
        <w:sz w:val="32"/>
        <w:szCs w:val="32"/>
      </w:rPr>
    </w:pPr>
    <w:r w:rsidRPr="00145646">
      <w:rPr>
        <w:b/>
        <w:sz w:val="32"/>
        <w:szCs w:val="32"/>
      </w:rPr>
      <w:t>2022 LEGISLATION CHANGES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AE1"/>
    <w:rsid w:val="00145646"/>
    <w:rsid w:val="00181253"/>
    <w:rsid w:val="00605AE1"/>
    <w:rsid w:val="008426A9"/>
    <w:rsid w:val="00FD3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E522"/>
  <w15:chartTrackingRefBased/>
  <w15:docId w15:val="{F19DF31D-FBE6-4759-8066-C83A20E2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05AE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05AE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05AE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05AE1"/>
    <w:rPr>
      <w:rFonts w:ascii="Times New Roman" w:eastAsia="Times New Roman" w:hAnsi="Times New Roman" w:cs="Times New Roman"/>
      <w:b/>
      <w:bCs/>
      <w:sz w:val="24"/>
      <w:szCs w:val="24"/>
    </w:rPr>
  </w:style>
  <w:style w:type="paragraph" w:customStyle="1" w:styleId="sectmarg">
    <w:name w:val="sectmarg"/>
    <w:basedOn w:val="Normal"/>
    <w:rsid w:val="00605A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05AE1"/>
    <w:rPr>
      <w:color w:val="0000FF"/>
      <w:u w:val="single"/>
    </w:rPr>
  </w:style>
  <w:style w:type="character" w:customStyle="1" w:styleId="text">
    <w:name w:val="text"/>
    <w:basedOn w:val="DefaultParagraphFont"/>
    <w:rsid w:val="00605AE1"/>
  </w:style>
  <w:style w:type="paragraph" w:styleId="NormalWeb">
    <w:name w:val="Normal (Web)"/>
    <w:basedOn w:val="Normal"/>
    <w:uiPriority w:val="99"/>
    <w:semiHidden/>
    <w:unhideWhenUsed/>
    <w:rsid w:val="00605AE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5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646"/>
  </w:style>
  <w:style w:type="paragraph" w:styleId="Footer">
    <w:name w:val="footer"/>
    <w:basedOn w:val="Normal"/>
    <w:link w:val="FooterChar"/>
    <w:uiPriority w:val="99"/>
    <w:unhideWhenUsed/>
    <w:rsid w:val="00145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72891">
      <w:bodyDiv w:val="1"/>
      <w:marLeft w:val="0"/>
      <w:marRight w:val="0"/>
      <w:marTop w:val="0"/>
      <w:marBottom w:val="0"/>
      <w:divBdr>
        <w:top w:val="none" w:sz="0" w:space="0" w:color="auto"/>
        <w:left w:val="none" w:sz="0" w:space="0" w:color="auto"/>
        <w:bottom w:val="none" w:sz="0" w:space="0" w:color="auto"/>
        <w:right w:val="none" w:sz="0" w:space="0" w:color="auto"/>
      </w:divBdr>
    </w:div>
    <w:div w:id="738094064">
      <w:bodyDiv w:val="1"/>
      <w:marLeft w:val="0"/>
      <w:marRight w:val="0"/>
      <w:marTop w:val="0"/>
      <w:marBottom w:val="0"/>
      <w:divBdr>
        <w:top w:val="none" w:sz="0" w:space="0" w:color="auto"/>
        <w:left w:val="none" w:sz="0" w:space="0" w:color="auto"/>
        <w:bottom w:val="none" w:sz="0" w:space="0" w:color="auto"/>
        <w:right w:val="none" w:sz="0" w:space="0" w:color="auto"/>
      </w:divBdr>
    </w:div>
    <w:div w:id="1054236902">
      <w:bodyDiv w:val="1"/>
      <w:marLeft w:val="0"/>
      <w:marRight w:val="0"/>
      <w:marTop w:val="0"/>
      <w:marBottom w:val="0"/>
      <w:divBdr>
        <w:top w:val="none" w:sz="0" w:space="0" w:color="auto"/>
        <w:left w:val="none" w:sz="0" w:space="0" w:color="auto"/>
        <w:bottom w:val="none" w:sz="0" w:space="0" w:color="auto"/>
        <w:right w:val="none" w:sz="0" w:space="0" w:color="auto"/>
      </w:divBdr>
    </w:div>
    <w:div w:id="1058820152">
      <w:bodyDiv w:val="1"/>
      <w:marLeft w:val="0"/>
      <w:marRight w:val="0"/>
      <w:marTop w:val="0"/>
      <w:marBottom w:val="0"/>
      <w:divBdr>
        <w:top w:val="none" w:sz="0" w:space="0" w:color="auto"/>
        <w:left w:val="none" w:sz="0" w:space="0" w:color="auto"/>
        <w:bottom w:val="none" w:sz="0" w:space="0" w:color="auto"/>
        <w:right w:val="none" w:sz="0" w:space="0" w:color="auto"/>
      </w:divBdr>
    </w:div>
    <w:div w:id="1286349321">
      <w:bodyDiv w:val="1"/>
      <w:marLeft w:val="0"/>
      <w:marRight w:val="0"/>
      <w:marTop w:val="0"/>
      <w:marBottom w:val="0"/>
      <w:divBdr>
        <w:top w:val="none" w:sz="0" w:space="0" w:color="auto"/>
        <w:left w:val="none" w:sz="0" w:space="0" w:color="auto"/>
        <w:bottom w:val="none" w:sz="0" w:space="0" w:color="auto"/>
        <w:right w:val="none" w:sz="0" w:space="0" w:color="auto"/>
      </w:divBdr>
    </w:div>
    <w:div w:id="1690568755">
      <w:bodyDiv w:val="1"/>
      <w:marLeft w:val="0"/>
      <w:marRight w:val="0"/>
      <w:marTop w:val="0"/>
      <w:marBottom w:val="0"/>
      <w:divBdr>
        <w:top w:val="none" w:sz="0" w:space="0" w:color="auto"/>
        <w:left w:val="none" w:sz="0" w:space="0" w:color="auto"/>
        <w:bottom w:val="none" w:sz="0" w:space="0" w:color="auto"/>
        <w:right w:val="none" w:sz="0" w:space="0" w:color="auto"/>
      </w:divBdr>
    </w:div>
    <w:div w:id="1743987433">
      <w:bodyDiv w:val="1"/>
      <w:marLeft w:val="0"/>
      <w:marRight w:val="0"/>
      <w:marTop w:val="0"/>
      <w:marBottom w:val="0"/>
      <w:divBdr>
        <w:top w:val="none" w:sz="0" w:space="0" w:color="auto"/>
        <w:left w:val="none" w:sz="0" w:space="0" w:color="auto"/>
        <w:bottom w:val="none" w:sz="0" w:space="0" w:color="auto"/>
        <w:right w:val="none" w:sz="0" w:space="0" w:color="auto"/>
      </w:divBdr>
    </w:div>
    <w:div w:id="1956674541">
      <w:bodyDiv w:val="1"/>
      <w:marLeft w:val="0"/>
      <w:marRight w:val="0"/>
      <w:marTop w:val="0"/>
      <w:marBottom w:val="0"/>
      <w:divBdr>
        <w:top w:val="none" w:sz="0" w:space="0" w:color="auto"/>
        <w:left w:val="none" w:sz="0" w:space="0" w:color="auto"/>
        <w:bottom w:val="none" w:sz="0" w:space="0" w:color="auto"/>
        <w:right w:val="none" w:sz="0" w:space="0" w:color="auto"/>
      </w:divBdr>
    </w:div>
    <w:div w:id="1972861513">
      <w:bodyDiv w:val="1"/>
      <w:marLeft w:val="0"/>
      <w:marRight w:val="0"/>
      <w:marTop w:val="0"/>
      <w:marBottom w:val="0"/>
      <w:divBdr>
        <w:top w:val="none" w:sz="0" w:space="0" w:color="auto"/>
        <w:left w:val="none" w:sz="0" w:space="0" w:color="auto"/>
        <w:bottom w:val="none" w:sz="0" w:space="0" w:color="auto"/>
        <w:right w:val="none" w:sz="0" w:space="0" w:color="auto"/>
      </w:divBdr>
    </w:div>
    <w:div w:id="208294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is.virginia.gov/cgi-bin/legp604.exe?221+mbr+HB429" TargetMode="External"/><Relationship Id="rId18" Type="http://schemas.openxmlformats.org/officeDocument/2006/relationships/hyperlink" Target="https://lis.virginia.gov/cgi-bin/legp604.exe?221+sum+SB225" TargetMode="External"/><Relationship Id="rId26" Type="http://schemas.openxmlformats.org/officeDocument/2006/relationships/hyperlink" Target="https://lis.virginia.gov/cgi-bin/legp604.exe?221+sum+HB964S" TargetMode="External"/><Relationship Id="rId39" Type="http://schemas.openxmlformats.org/officeDocument/2006/relationships/hyperlink" Target="https://lis.virginia.gov/cgi-bin/legp604.exe?221+mbr+SB225" TargetMode="External"/><Relationship Id="rId21" Type="http://schemas.openxmlformats.org/officeDocument/2006/relationships/hyperlink" Target="https://lis.virginia.gov/cgi-bin/legp607.exe?221+n1a+HB814" TargetMode="External"/><Relationship Id="rId34" Type="http://schemas.openxmlformats.org/officeDocument/2006/relationships/hyperlink" Target="https://lis.virginia.gov/cgi-bin/legp607.exe?221+n1a+SB210" TargetMode="External"/><Relationship Id="rId42" Type="http://schemas.openxmlformats.org/officeDocument/2006/relationships/hyperlink" Target="https://lis.virginia.gov/cgi-bin/legp604.exe?221+sum+SB225S" TargetMode="External"/><Relationship Id="rId47" Type="http://schemas.openxmlformats.org/officeDocument/2006/relationships/hyperlink" Target="https://lis.virginia.gov/cgi-bin/legp608.exe?221+ubk+ONE+SB0258" TargetMode="External"/><Relationship Id="rId50" Type="http://schemas.openxmlformats.org/officeDocument/2006/relationships/hyperlink" Target="https://lis.virginia.gov/cgi-bin/legp604.exe?221+mbr+SB259" TargetMode="External"/><Relationship Id="rId55" Type="http://schemas.openxmlformats.org/officeDocument/2006/relationships/hyperlink" Target="https://lis.virginia.gov/cgi-bin/legp604.exe?221+mbr+SB416" TargetMode="External"/><Relationship Id="rId7" Type="http://schemas.openxmlformats.org/officeDocument/2006/relationships/hyperlink" Target="https://lis.virginia.gov/cgi-bin/legp604.exe?221+mbr+HB19" TargetMode="External"/><Relationship Id="rId2" Type="http://schemas.openxmlformats.org/officeDocument/2006/relationships/settings" Target="settings.xml"/><Relationship Id="rId16" Type="http://schemas.openxmlformats.org/officeDocument/2006/relationships/hyperlink" Target="https://lis.virginia.gov/cgi-bin/legp604.exe?221+sum+HB429S" TargetMode="External"/><Relationship Id="rId20" Type="http://schemas.openxmlformats.org/officeDocument/2006/relationships/hyperlink" Target="https://lis.virginia.gov/cgi-bin/legp604.exe?221+mbr+HB814" TargetMode="External"/><Relationship Id="rId29" Type="http://schemas.openxmlformats.org/officeDocument/2006/relationships/hyperlink" Target="https://lis.virginia.gov/cgi-bin/legp607.exe?221+n1a+HB1310" TargetMode="External"/><Relationship Id="rId41" Type="http://schemas.openxmlformats.org/officeDocument/2006/relationships/hyperlink" Target="https://lis.virginia.gov/cgi-bin/legp608.exe?221+ubk+ONE+SB0225" TargetMode="External"/><Relationship Id="rId54" Type="http://schemas.openxmlformats.org/officeDocument/2006/relationships/hyperlink" Target="https://lis.virginia.gov/cgi-bin/legp604.exe?221+mbr+S96" TargetMode="External"/><Relationship Id="rId1" Type="http://schemas.openxmlformats.org/officeDocument/2006/relationships/styles" Target="styles.xml"/><Relationship Id="rId6" Type="http://schemas.openxmlformats.org/officeDocument/2006/relationships/hyperlink" Target="https://lis.virginia.gov/cgi-bin/legp604.exe?221+mbr+H259" TargetMode="External"/><Relationship Id="rId11" Type="http://schemas.openxmlformats.org/officeDocument/2006/relationships/hyperlink" Target="https://lis.virginia.gov/cgi-bin/legp604.exe?221+sum+SB210" TargetMode="External"/><Relationship Id="rId24" Type="http://schemas.openxmlformats.org/officeDocument/2006/relationships/hyperlink" Target="https://lis.virginia.gov/cgi-bin/legp607.exe?221+n1a+HB964" TargetMode="External"/><Relationship Id="rId32" Type="http://schemas.openxmlformats.org/officeDocument/2006/relationships/hyperlink" Target="https://lis.virginia.gov/cgi-bin/legp604.exe?221+mbr+S76" TargetMode="External"/><Relationship Id="rId37" Type="http://schemas.openxmlformats.org/officeDocument/2006/relationships/hyperlink" Target="https://lis.virginia.gov/cgi-bin/legp604.exe?221+sum+HB19" TargetMode="External"/><Relationship Id="rId40" Type="http://schemas.openxmlformats.org/officeDocument/2006/relationships/hyperlink" Target="https://lis.virginia.gov/cgi-bin/legp607.exe?221+n1a+SB225" TargetMode="External"/><Relationship Id="rId45" Type="http://schemas.openxmlformats.org/officeDocument/2006/relationships/hyperlink" Target="https://lis.virginia.gov/cgi-bin/legp604.exe?221+mbr+SB258" TargetMode="External"/><Relationship Id="rId53" Type="http://schemas.openxmlformats.org/officeDocument/2006/relationships/hyperlink" Target="https://lis.virginia.gov/cgi-bin/legp604.exe?221+sum+SB259S" TargetMode="External"/><Relationship Id="rId58" Type="http://schemas.openxmlformats.org/officeDocument/2006/relationships/hyperlink" Target="https://lis.virginia.gov/cgi-bin/legp604.exe?221+sum+SB416S" TargetMode="External"/><Relationship Id="rId5" Type="http://schemas.openxmlformats.org/officeDocument/2006/relationships/endnotes" Target="endnotes.xml"/><Relationship Id="rId15" Type="http://schemas.openxmlformats.org/officeDocument/2006/relationships/hyperlink" Target="https://lis.virginia.gov/cgi-bin/legp608.exe?221+ubk+ONE+HB0429" TargetMode="External"/><Relationship Id="rId23" Type="http://schemas.openxmlformats.org/officeDocument/2006/relationships/hyperlink" Target="https://lis.virginia.gov/cgi-bin/legp604.exe?221+mbr+HB964" TargetMode="External"/><Relationship Id="rId28" Type="http://schemas.openxmlformats.org/officeDocument/2006/relationships/hyperlink" Target="https://lis.virginia.gov/cgi-bin/legp604.exe?221+mbr+HB1310" TargetMode="External"/><Relationship Id="rId36" Type="http://schemas.openxmlformats.org/officeDocument/2006/relationships/hyperlink" Target="https://lis.virginia.gov/cgi-bin/legp604.exe?221+sum+SB210S" TargetMode="External"/><Relationship Id="rId49" Type="http://schemas.openxmlformats.org/officeDocument/2006/relationships/hyperlink" Target="https://lis.virginia.gov/cgi-bin/legp604.exe?221+mbr+S107" TargetMode="External"/><Relationship Id="rId57" Type="http://schemas.openxmlformats.org/officeDocument/2006/relationships/hyperlink" Target="https://lis.virginia.gov/cgi-bin/legp608.exe?221+ubk+ONE+SB0416" TargetMode="External"/><Relationship Id="rId61" Type="http://schemas.openxmlformats.org/officeDocument/2006/relationships/theme" Target="theme/theme1.xml"/><Relationship Id="rId10" Type="http://schemas.openxmlformats.org/officeDocument/2006/relationships/hyperlink" Target="https://lis.virginia.gov/cgi-bin/legp604.exe?221+sum+HB19S" TargetMode="External"/><Relationship Id="rId19" Type="http://schemas.openxmlformats.org/officeDocument/2006/relationships/hyperlink" Target="https://lis.virginia.gov/cgi-bin/legp604.exe?221+mbr+H227" TargetMode="External"/><Relationship Id="rId31" Type="http://schemas.openxmlformats.org/officeDocument/2006/relationships/hyperlink" Target="https://lis.virginia.gov/cgi-bin/legp604.exe?221+sum+HB1310S" TargetMode="External"/><Relationship Id="rId44" Type="http://schemas.openxmlformats.org/officeDocument/2006/relationships/hyperlink" Target="https://lis.virginia.gov/cgi-bin/legp604.exe?221+mbr+S107" TargetMode="External"/><Relationship Id="rId52" Type="http://schemas.openxmlformats.org/officeDocument/2006/relationships/hyperlink" Target="https://lis.virginia.gov/cgi-bin/legp608.exe?221+ubk+ONE+SB0259"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is.virginia.gov/cgi-bin/legp608.exe?221+ubk+ONE+HB0019" TargetMode="External"/><Relationship Id="rId14" Type="http://schemas.openxmlformats.org/officeDocument/2006/relationships/hyperlink" Target="https://lis.virginia.gov/cgi-bin/legp607.exe?221+n1a+HB429" TargetMode="External"/><Relationship Id="rId22" Type="http://schemas.openxmlformats.org/officeDocument/2006/relationships/hyperlink" Target="https://lis.virginia.gov/cgi-bin/legp608.exe?221+ubk+ONE+HB0814" TargetMode="External"/><Relationship Id="rId27" Type="http://schemas.openxmlformats.org/officeDocument/2006/relationships/hyperlink" Target="https://lis.virginia.gov/cgi-bin/legp604.exe?221+mbr+H344" TargetMode="External"/><Relationship Id="rId30" Type="http://schemas.openxmlformats.org/officeDocument/2006/relationships/hyperlink" Target="https://lis.virginia.gov/cgi-bin/legp608.exe?221+ubk+ONE+HB1310" TargetMode="External"/><Relationship Id="rId35" Type="http://schemas.openxmlformats.org/officeDocument/2006/relationships/hyperlink" Target="https://lis.virginia.gov/cgi-bin/legp608.exe?221+ubk+ONE+SB0210" TargetMode="External"/><Relationship Id="rId43" Type="http://schemas.openxmlformats.org/officeDocument/2006/relationships/hyperlink" Target="https://lis.virginia.gov/cgi-bin/legp604.exe?221+sum+HB429" TargetMode="External"/><Relationship Id="rId48" Type="http://schemas.openxmlformats.org/officeDocument/2006/relationships/hyperlink" Target="https://lis.virginia.gov/cgi-bin/legp604.exe?221+sum+SB258S" TargetMode="External"/><Relationship Id="rId56" Type="http://schemas.openxmlformats.org/officeDocument/2006/relationships/hyperlink" Target="https://lis.virginia.gov/cgi-bin/legp607.exe?221+n1a+SB416" TargetMode="External"/><Relationship Id="rId8" Type="http://schemas.openxmlformats.org/officeDocument/2006/relationships/hyperlink" Target="https://lis.virginia.gov/cgi-bin/legp607.exe?221+n1a+HB19" TargetMode="External"/><Relationship Id="rId51" Type="http://schemas.openxmlformats.org/officeDocument/2006/relationships/hyperlink" Target="https://lis.virginia.gov/cgi-bin/legp607.exe?221+n1a+SB259" TargetMode="External"/><Relationship Id="rId3" Type="http://schemas.openxmlformats.org/officeDocument/2006/relationships/webSettings" Target="webSettings.xml"/><Relationship Id="rId12" Type="http://schemas.openxmlformats.org/officeDocument/2006/relationships/hyperlink" Target="https://lis.virginia.gov/cgi-bin/legp604.exe?221+mbr+H177" TargetMode="External"/><Relationship Id="rId17" Type="http://schemas.openxmlformats.org/officeDocument/2006/relationships/hyperlink" Target="https://lis.virginia.gov/cgi-bin/legp604.exe?221+sum+HB438" TargetMode="External"/><Relationship Id="rId25" Type="http://schemas.openxmlformats.org/officeDocument/2006/relationships/hyperlink" Target="https://lis.virginia.gov/cgi-bin/legp608.exe?221+ubk+ONE+HB0964" TargetMode="External"/><Relationship Id="rId33" Type="http://schemas.openxmlformats.org/officeDocument/2006/relationships/hyperlink" Target="https://lis.virginia.gov/cgi-bin/legp604.exe?221+mbr+SB210" TargetMode="External"/><Relationship Id="rId38" Type="http://schemas.openxmlformats.org/officeDocument/2006/relationships/hyperlink" Target="https://lis.virginia.gov/cgi-bin/legp604.exe?221+mbr+S98" TargetMode="External"/><Relationship Id="rId46" Type="http://schemas.openxmlformats.org/officeDocument/2006/relationships/hyperlink" Target="https://lis.virginia.gov/cgi-bin/legp607.exe?221+n1a+SB258" TargetMode="External"/><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2089</Words>
  <Characters>11912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13974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Mcarthur, Melissa (TAX)</dc:creator>
  <cp:keywords/>
  <dc:description/>
  <cp:lastModifiedBy>Mcarthur, Melissa (TAX)</cp:lastModifiedBy>
  <cp:revision>2</cp:revision>
  <dcterms:created xsi:type="dcterms:W3CDTF">2022-05-31T15:27:00Z</dcterms:created>
  <dcterms:modified xsi:type="dcterms:W3CDTF">2022-05-31T15:58:00Z</dcterms:modified>
</cp:coreProperties>
</file>